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3E2EB5F">
      <w:pPr>
        <w:adjustRightInd w:val="0"/>
        <w:snapToGrid w:val="0"/>
        <w:spacing w:line="360" w:lineRule="auto"/>
        <w:jc w:val="center"/>
        <w:rPr>
          <w:rFonts w:ascii="方正小标宋_GBK" w:hAnsi="宋体" w:eastAsia="方正小标宋_GBK" w:cs="方正小标宋_GBK"/>
          <w:b/>
          <w:sz w:val="44"/>
          <w:szCs w:val="44"/>
          <w:highlight w:val="none"/>
        </w:rPr>
      </w:pPr>
      <w:bookmarkStart w:id="0" w:name="_GoBack"/>
      <w:bookmarkEnd w:id="0"/>
      <w:r>
        <w:rPr>
          <w:rFonts w:hint="eastAsia" w:ascii="方正小标宋_GBK" w:hAnsi="宋体" w:eastAsia="方正小标宋_GBK" w:cs="方正小标宋_GBK"/>
          <w:b/>
          <w:sz w:val="44"/>
          <w:szCs w:val="44"/>
          <w:highlight w:val="none"/>
        </w:rPr>
        <w:t>安全评价报告信息公布表</w:t>
      </w:r>
    </w:p>
    <w:tbl>
      <w:tblPr>
        <w:tblStyle w:val="9"/>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1051"/>
        <w:gridCol w:w="1667"/>
        <w:gridCol w:w="1345"/>
        <w:gridCol w:w="1349"/>
        <w:gridCol w:w="1547"/>
        <w:gridCol w:w="1554"/>
      </w:tblGrid>
      <w:tr w14:paraId="35010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85DE0F3">
            <w:pPr>
              <w:adjustRightInd w:val="0"/>
              <w:snapToGrid w:val="0"/>
              <w:jc w:val="center"/>
              <w:rPr>
                <w:rFonts w:ascii="Times New Roman" w:hAnsi="Times New Roman" w:eastAsia="宋体" w:cs="Times New Roman"/>
                <w:b/>
                <w:szCs w:val="21"/>
                <w:highlight w:val="none"/>
              </w:rPr>
            </w:pPr>
            <w:r>
              <w:rPr>
                <w:rFonts w:ascii="Times New Roman" w:hAnsi="Times New Roman" w:cs="Times New Roman"/>
                <w:b/>
                <w:szCs w:val="21"/>
                <w:highlight w:val="none"/>
              </w:rPr>
              <w:t>机构名称</w:t>
            </w:r>
          </w:p>
        </w:tc>
        <w:tc>
          <w:tcPr>
            <w:tcW w:w="4063" w:type="dxa"/>
            <w:gridSpan w:val="3"/>
            <w:tcBorders>
              <w:top w:val="single" w:color="auto" w:sz="4" w:space="0"/>
              <w:left w:val="single" w:color="auto" w:sz="4" w:space="0"/>
              <w:bottom w:val="single" w:color="auto" w:sz="4" w:space="0"/>
              <w:right w:val="single" w:color="auto" w:sz="4" w:space="0"/>
            </w:tcBorders>
            <w:shd w:val="clear" w:color="auto" w:fill="auto"/>
            <w:vAlign w:val="center"/>
          </w:tcPr>
          <w:p w14:paraId="1F21B32E">
            <w:pPr>
              <w:adjustRightInd w:val="0"/>
              <w:snapToGrid w:val="0"/>
              <w:jc w:val="center"/>
              <w:rPr>
                <w:rFonts w:ascii="Times New Roman" w:hAnsi="Times New Roman" w:eastAsia="宋体" w:cs="Times New Roman"/>
                <w:szCs w:val="21"/>
                <w:highlight w:val="none"/>
              </w:rPr>
            </w:pPr>
            <w:r>
              <w:rPr>
                <w:rFonts w:ascii="Times New Roman" w:hAnsi="Times New Roman" w:cs="Times New Roman"/>
                <w:szCs w:val="21"/>
                <w:highlight w:val="none"/>
              </w:rPr>
              <w:t>湖北景深安全技术有限公司</w:t>
            </w:r>
          </w:p>
        </w:tc>
        <w:tc>
          <w:tcPr>
            <w:tcW w:w="1349" w:type="dxa"/>
            <w:tcBorders>
              <w:top w:val="single" w:color="auto" w:sz="4" w:space="0"/>
              <w:left w:val="single" w:color="auto" w:sz="4" w:space="0"/>
              <w:bottom w:val="single" w:color="auto" w:sz="4" w:space="0"/>
              <w:right w:val="single" w:color="auto" w:sz="4" w:space="0"/>
            </w:tcBorders>
            <w:shd w:val="clear" w:color="auto" w:fill="auto"/>
            <w:vAlign w:val="center"/>
          </w:tcPr>
          <w:p w14:paraId="21646CE4">
            <w:pPr>
              <w:adjustRightInd w:val="0"/>
              <w:snapToGrid w:val="0"/>
              <w:jc w:val="center"/>
              <w:rPr>
                <w:rFonts w:ascii="Times New Roman" w:hAnsi="Times New Roman" w:eastAsia="宋体" w:cs="Times New Roman"/>
                <w:b/>
                <w:szCs w:val="21"/>
                <w:highlight w:val="none"/>
              </w:rPr>
            </w:pPr>
            <w:r>
              <w:rPr>
                <w:rFonts w:ascii="Times New Roman" w:hAnsi="Times New Roman" w:cs="Times New Roman"/>
                <w:b/>
                <w:szCs w:val="21"/>
                <w:highlight w:val="none"/>
              </w:rPr>
              <w:t>资质证号</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0C613BF">
            <w:pPr>
              <w:adjustRightInd w:val="0"/>
              <w:snapToGrid w:val="0"/>
              <w:jc w:val="center"/>
              <w:rPr>
                <w:rFonts w:ascii="Times New Roman" w:hAnsi="Times New Roman" w:eastAsia="宋体" w:cs="Times New Roman"/>
                <w:b/>
                <w:szCs w:val="21"/>
                <w:highlight w:val="none"/>
              </w:rPr>
            </w:pPr>
            <w:r>
              <w:rPr>
                <w:rFonts w:ascii="Times New Roman" w:hAnsi="Times New Roman" w:cs="Times New Roman"/>
                <w:szCs w:val="21"/>
                <w:highlight w:val="none"/>
              </w:rPr>
              <w:t>APJ-（鄂）-002</w:t>
            </w:r>
          </w:p>
        </w:tc>
      </w:tr>
      <w:tr w14:paraId="5FCA2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A9C0423">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委托单位</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5341F41">
            <w:pPr>
              <w:adjustRightInd w:val="0"/>
              <w:snapToGrid w:val="0"/>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海科新源材料科技（湖北）有限公司</w:t>
            </w:r>
          </w:p>
        </w:tc>
      </w:tr>
      <w:tr w14:paraId="683E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43A822D1">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项目名称</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97C8638">
            <w:pPr>
              <w:adjustRightInd w:val="0"/>
              <w:snapToGrid w:val="0"/>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海科新源材料科技（湖北）有限公司含尘废酸精制提纯项目安全预评价报告</w:t>
            </w:r>
          </w:p>
        </w:tc>
      </w:tr>
      <w:tr w14:paraId="31C50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1C0D34F5">
            <w:pPr>
              <w:adjustRightInd w:val="0"/>
              <w:snapToGrid w:val="0"/>
              <w:jc w:val="center"/>
              <w:rPr>
                <w:rFonts w:ascii="Times New Roman" w:hAnsi="Times New Roman" w:eastAsia="宋体" w:cs="Times New Roman"/>
                <w:szCs w:val="21"/>
                <w:highlight w:val="none"/>
              </w:rPr>
            </w:pPr>
            <w:r>
              <w:rPr>
                <w:rFonts w:ascii="Times New Roman" w:hAnsi="Times New Roman" w:eastAsia="宋体" w:cs="Times New Roman"/>
                <w:b/>
                <w:szCs w:val="21"/>
                <w:highlight w:val="none"/>
              </w:rPr>
              <w:t>业务类别</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27A471A6">
            <w:pPr>
              <w:adjustRightInd w:val="0"/>
              <w:snapToGrid w:val="0"/>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安全预评价</w:t>
            </w:r>
          </w:p>
        </w:tc>
      </w:tr>
      <w:tr w14:paraId="4B92E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0595EEF">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安全评价过程控制情况</w:t>
            </w:r>
          </w:p>
        </w:tc>
      </w:tr>
      <w:tr w14:paraId="0D7E7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114D13FF">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安全评价</w:t>
            </w:r>
          </w:p>
          <w:p w14:paraId="7AA40C10">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项目管理</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6AA40CA">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项目组长</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57EA058">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技术负责人</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7ADC736">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过程控制负责人</w:t>
            </w:r>
          </w:p>
        </w:tc>
      </w:tr>
      <w:tr w14:paraId="21F6E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E921D12">
            <w:pPr>
              <w:rPr>
                <w:rFonts w:ascii="Times New Roman" w:hAnsi="Times New Roman" w:eastAsia="宋体" w:cs="Times New Roman"/>
                <w:szCs w:val="22"/>
                <w:highlight w:val="none"/>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AB2DA8">
            <w:pPr>
              <w:adjustRightInd w:val="0"/>
              <w:snapToGrid w:val="0"/>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喻植昌</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0BF273A6">
            <w:pPr>
              <w:adjustRightInd w:val="0"/>
              <w:snapToGrid w:val="0"/>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邹德新</w:t>
            </w:r>
          </w:p>
        </w:tc>
        <w:tc>
          <w:tcPr>
            <w:tcW w:w="3101"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4FB5808F">
            <w:pPr>
              <w:adjustRightInd w:val="0"/>
              <w:snapToGrid w:val="0"/>
              <w:jc w:val="center"/>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余海波</w:t>
            </w:r>
          </w:p>
        </w:tc>
      </w:tr>
      <w:tr w14:paraId="08A7C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2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E0D8412">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编制</w:t>
            </w:r>
          </w:p>
          <w:p w14:paraId="3DDD3913">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过程</w:t>
            </w: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AC5EC27">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报告编制人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7D29FB">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报告提交日期</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0274A32">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报告审核人</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1B3D42EB">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报告审批人</w:t>
            </w:r>
          </w:p>
        </w:tc>
      </w:tr>
      <w:tr w14:paraId="16F15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93399C7">
            <w:pPr>
              <w:rPr>
                <w:rFonts w:ascii="Times New Roman" w:hAnsi="Times New Roman" w:eastAsia="宋体" w:cs="Times New Roman"/>
                <w:szCs w:val="22"/>
                <w:highlight w:val="none"/>
              </w:rPr>
            </w:pPr>
          </w:p>
        </w:tc>
        <w:tc>
          <w:tcPr>
            <w:tcW w:w="271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ECE0364">
            <w:pPr>
              <w:adjustRightInd w:val="0"/>
              <w:snapToGrid w:val="0"/>
              <w:jc w:val="center"/>
              <w:rPr>
                <w:rFonts w:ascii="Times New Roman" w:hAnsi="Times New Roman" w:cs="Times New Roman"/>
                <w:szCs w:val="21"/>
                <w:highlight w:val="none"/>
              </w:rPr>
            </w:pPr>
            <w:r>
              <w:rPr>
                <w:rFonts w:hint="eastAsia" w:ascii="Times New Roman" w:hAnsi="Times New Roman" w:cs="Times New Roman"/>
                <w:szCs w:val="21"/>
                <w:highlight w:val="none"/>
              </w:rPr>
              <w:t>喻植昌</w:t>
            </w:r>
            <w:r>
              <w:rPr>
                <w:rFonts w:hint="eastAsia" w:ascii="Times New Roman" w:hAnsi="Times New Roman" w:cs="Times New Roman"/>
                <w:szCs w:val="21"/>
                <w:highlight w:val="none"/>
                <w:lang w:eastAsia="zh-CN"/>
              </w:rPr>
              <w:t>、</w:t>
            </w:r>
            <w:r>
              <w:rPr>
                <w:rFonts w:hint="eastAsia" w:ascii="Times New Roman" w:hAnsi="Times New Roman" w:cs="Times New Roman"/>
                <w:szCs w:val="21"/>
                <w:highlight w:val="none"/>
              </w:rPr>
              <w:t>夏鹏</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5A376D">
            <w:pPr>
              <w:adjustRightInd w:val="0"/>
              <w:snapToGrid w:val="0"/>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2026.8.21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F625DB6">
            <w:pPr>
              <w:adjustRightInd w:val="0"/>
              <w:snapToGrid w:val="0"/>
              <w:jc w:val="center"/>
              <w:rPr>
                <w:szCs w:val="28"/>
                <w:highlight w:val="none"/>
              </w:rPr>
            </w:pPr>
            <w:r>
              <w:rPr>
                <w:rFonts w:hint="eastAsia"/>
                <w:szCs w:val="28"/>
                <w:highlight w:val="none"/>
              </w:rPr>
              <w:t>王海波</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61484661">
            <w:pPr>
              <w:adjustRightInd w:val="0"/>
              <w:snapToGrid w:val="0"/>
              <w:jc w:val="center"/>
              <w:rPr>
                <w:szCs w:val="28"/>
                <w:highlight w:val="none"/>
              </w:rPr>
            </w:pPr>
            <w:r>
              <w:rPr>
                <w:rFonts w:hint="default" w:ascii="Times New Roman" w:hAnsi="Times New Roman" w:cs="Times New Roman"/>
                <w:color w:val="auto"/>
                <w:sz w:val="24"/>
                <w:szCs w:val="24"/>
                <w:lang w:val="en-US" w:eastAsia="zh-CN"/>
              </w:rPr>
              <w:t>邹德新</w:t>
            </w:r>
          </w:p>
        </w:tc>
      </w:tr>
      <w:tr w14:paraId="33BB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restart"/>
            <w:tcBorders>
              <w:top w:val="single" w:color="auto" w:sz="4" w:space="0"/>
              <w:left w:val="single" w:color="auto" w:sz="4" w:space="0"/>
              <w:right w:val="single" w:color="auto" w:sz="4" w:space="0"/>
            </w:tcBorders>
            <w:shd w:val="clear" w:color="auto" w:fill="auto"/>
            <w:vAlign w:val="center"/>
          </w:tcPr>
          <w:p w14:paraId="5BE92135">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安全</w:t>
            </w:r>
          </w:p>
          <w:p w14:paraId="383D1D66">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评价</w:t>
            </w:r>
          </w:p>
          <w:p w14:paraId="337A08F0">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项目</w:t>
            </w:r>
          </w:p>
          <w:p w14:paraId="69FD9280">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参与</w:t>
            </w:r>
          </w:p>
          <w:p w14:paraId="52949CFB">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人员</w:t>
            </w: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9CDF939">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姓名</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069F3E7F">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认定专业</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16CC3A9">
            <w:pPr>
              <w:adjustRightInd w:val="0"/>
              <w:snapToGrid w:val="0"/>
              <w:jc w:val="center"/>
              <w:rPr>
                <w:rFonts w:ascii="Times New Roman" w:hAnsi="Times New Roman" w:eastAsia="宋体" w:cs="Times New Roman"/>
                <w:b/>
                <w:szCs w:val="21"/>
                <w:highlight w:val="none"/>
              </w:rPr>
            </w:pPr>
            <w:r>
              <w:rPr>
                <w:rFonts w:hint="eastAsia" w:cs="Times New Roman"/>
                <w:b/>
                <w:color w:val="auto"/>
                <w:sz w:val="24"/>
                <w:szCs w:val="24"/>
                <w:highlight w:val="none"/>
                <w:lang w:val="en-US" w:eastAsia="zh-CN"/>
              </w:rPr>
              <w:t>职业资格证书管理号</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8FFBD7E">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注册安全工程师</w:t>
            </w:r>
            <w:r>
              <w:rPr>
                <w:rFonts w:hint="eastAsia" w:ascii="Times New Roman" w:hAnsi="Times New Roman" w:eastAsia="宋体" w:cs="Times New Roman"/>
                <w:b/>
                <w:szCs w:val="21"/>
                <w:highlight w:val="none"/>
                <w:lang w:val="en-US" w:eastAsia="zh-CN"/>
              </w:rPr>
              <w:t>执业证号</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990E062">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是否专职</w:t>
            </w:r>
          </w:p>
        </w:tc>
      </w:tr>
      <w:tr w14:paraId="376D5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363A66BF">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3F290C68">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喻植昌</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982737A">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自动化</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F4EE270">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201810033420000595</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1803C2A">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42190229386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5073FB2">
            <w:pPr>
              <w:jc w:val="center"/>
              <w:rPr>
                <w:rFonts w:ascii="Times New Roman" w:hAnsi="Times New Roman" w:cs="Times New Roman" w:eastAsiaTheme="minorEastAsia"/>
                <w:kern w:val="2"/>
                <w:sz w:val="21"/>
                <w:szCs w:val="21"/>
                <w:highlight w:val="none"/>
                <w:lang w:val="en-US" w:eastAsia="zh-CN" w:bidi="ar-SA"/>
              </w:rPr>
            </w:pPr>
            <w:r>
              <w:rPr>
                <w:rFonts w:ascii="Times New Roman" w:hAnsi="Times New Roman" w:cs="Times New Roman"/>
                <w:color w:val="auto"/>
                <w:szCs w:val="28"/>
              </w:rPr>
              <w:t>专职</w:t>
            </w:r>
          </w:p>
        </w:tc>
      </w:tr>
      <w:tr w14:paraId="0AB54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61F385E">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2DC4E7E">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谭辉</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50C8A277">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化工工艺/化工机械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FD23336">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2015033420332015420506000001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A30752C">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42180175866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2AF093B4">
            <w:pPr>
              <w:jc w:val="center"/>
              <w:rPr>
                <w:rFonts w:ascii="Times New Roman" w:hAnsi="Times New Roman" w:cs="Times New Roman"/>
                <w:szCs w:val="21"/>
                <w:highlight w:val="none"/>
              </w:rPr>
            </w:pPr>
            <w:r>
              <w:rPr>
                <w:rFonts w:ascii="Times New Roman" w:hAnsi="Times New Roman" w:cs="Times New Roman"/>
                <w:color w:val="auto"/>
                <w:szCs w:val="28"/>
              </w:rPr>
              <w:t>专职</w:t>
            </w:r>
          </w:p>
        </w:tc>
      </w:tr>
      <w:tr w14:paraId="48B7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720D1A5">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8B02CF8">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鲁小芳</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C6B052C">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36AAD64">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20211004642000000994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579EFE9D">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42220298206</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F573A04">
            <w:pPr>
              <w:jc w:val="center"/>
              <w:rPr>
                <w:rFonts w:ascii="Times New Roman" w:hAnsi="Times New Roman" w:cs="Times New Roman"/>
                <w:szCs w:val="21"/>
                <w:highlight w:val="none"/>
              </w:rPr>
            </w:pPr>
            <w:r>
              <w:rPr>
                <w:rFonts w:ascii="Times New Roman" w:hAnsi="Times New Roman" w:cs="Times New Roman"/>
                <w:color w:val="auto"/>
                <w:szCs w:val="28"/>
              </w:rPr>
              <w:t>专职</w:t>
            </w:r>
          </w:p>
        </w:tc>
      </w:tr>
      <w:tr w14:paraId="5C9A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249D1D08">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ACC9CEA">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冀仕盛</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1AF7B269">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电气</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8F43133">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05334243305420388</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7BA35F27">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42070027928</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2FE4D55">
            <w:pPr>
              <w:jc w:val="center"/>
              <w:rPr>
                <w:rFonts w:ascii="Times New Roman" w:hAnsi="Times New Roman" w:cs="Times New Roman"/>
                <w:szCs w:val="21"/>
                <w:highlight w:val="none"/>
              </w:rPr>
            </w:pPr>
            <w:r>
              <w:rPr>
                <w:rFonts w:ascii="Times New Roman" w:hAnsi="Times New Roman" w:cs="Times New Roman"/>
                <w:color w:val="auto"/>
                <w:szCs w:val="28"/>
              </w:rPr>
              <w:t>专职</w:t>
            </w:r>
          </w:p>
        </w:tc>
      </w:tr>
      <w:tr w14:paraId="35298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7B4FD24C">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6F818275">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夏鹏</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793D33D7">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B7A5DC9">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03320251042000001684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4AB99A18">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42260450307</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5D48034">
            <w:pPr>
              <w:jc w:val="center"/>
              <w:rPr>
                <w:rFonts w:ascii="Times New Roman" w:hAnsi="Times New Roman" w:cs="Times New Roman" w:eastAsiaTheme="minorEastAsia"/>
                <w:kern w:val="2"/>
                <w:sz w:val="21"/>
                <w:szCs w:val="21"/>
                <w:highlight w:val="none"/>
                <w:lang w:val="en-US" w:eastAsia="zh-CN" w:bidi="ar-SA"/>
              </w:rPr>
            </w:pPr>
            <w:r>
              <w:rPr>
                <w:rFonts w:ascii="Times New Roman" w:hAnsi="Times New Roman" w:cs="Times New Roman"/>
                <w:color w:val="auto"/>
                <w:szCs w:val="28"/>
              </w:rPr>
              <w:t>专职</w:t>
            </w:r>
          </w:p>
        </w:tc>
      </w:tr>
      <w:tr w14:paraId="74B8B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8069A9C">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034BC023">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李祥太</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40B8691">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DEC1105">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201911046420000601</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F9DDE70">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42200248765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059292A">
            <w:pPr>
              <w:adjustRightInd w:val="0"/>
              <w:snapToGrid w:val="0"/>
              <w:jc w:val="center"/>
              <w:rPr>
                <w:rFonts w:hint="default" w:ascii="Times New Roman" w:hAnsi="Times New Roman" w:eastAsia="宋体" w:cs="Times New Roman"/>
                <w:kern w:val="2"/>
                <w:sz w:val="21"/>
                <w:szCs w:val="21"/>
                <w:highlight w:val="none"/>
                <w:lang w:val="en-US" w:eastAsia="zh-CN" w:bidi="ar-SA"/>
              </w:rPr>
            </w:pPr>
            <w:r>
              <w:rPr>
                <w:rFonts w:ascii="Times New Roman" w:hAnsi="Times New Roman" w:cs="Times New Roman"/>
                <w:color w:val="auto"/>
                <w:szCs w:val="28"/>
              </w:rPr>
              <w:t>专职</w:t>
            </w:r>
          </w:p>
        </w:tc>
      </w:tr>
      <w:tr w14:paraId="5A107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202DEDE">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3DC936B">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rPr>
              <w:t>周智鑫</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40C5FB06">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8E72CCA">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201810033420000530</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3F688365">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42190219314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0BD60B48">
            <w:pPr>
              <w:adjustRightInd w:val="0"/>
              <w:snapToGrid w:val="0"/>
              <w:jc w:val="center"/>
              <w:rPr>
                <w:rFonts w:ascii="Times New Roman" w:hAnsi="Times New Roman" w:eastAsia="宋体" w:cs="Times New Roman"/>
                <w:kern w:val="2"/>
                <w:sz w:val="21"/>
                <w:szCs w:val="21"/>
                <w:highlight w:val="none"/>
                <w:lang w:val="en-US" w:eastAsia="zh-CN" w:bidi="ar-SA"/>
              </w:rPr>
            </w:pPr>
            <w:r>
              <w:rPr>
                <w:rFonts w:ascii="Times New Roman" w:hAnsi="Times New Roman" w:cs="Times New Roman"/>
                <w:color w:val="auto"/>
                <w:szCs w:val="28"/>
              </w:rPr>
              <w:t>专职</w:t>
            </w:r>
          </w:p>
        </w:tc>
      </w:tr>
      <w:tr w14:paraId="12FC0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1B4604D0">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42E77DA5">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王海波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027D1EC">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化工工艺/安全</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1A36B2B">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2017033420332017420516000256</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2085335E">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42180199405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4525E111">
            <w:pPr>
              <w:jc w:val="center"/>
              <w:rPr>
                <w:rFonts w:ascii="Times New Roman" w:hAnsi="Times New Roman" w:cs="Times New Roman"/>
                <w:szCs w:val="21"/>
                <w:highlight w:val="none"/>
              </w:rPr>
            </w:pPr>
            <w:r>
              <w:rPr>
                <w:rFonts w:ascii="Times New Roman" w:hAnsi="Times New Roman" w:cs="Times New Roman"/>
                <w:color w:val="auto"/>
                <w:szCs w:val="28"/>
              </w:rPr>
              <w:t>专职</w:t>
            </w:r>
          </w:p>
        </w:tc>
      </w:tr>
      <w:tr w14:paraId="0C88E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4F510CE4">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2E6340D5">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余海波</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A17BD4A">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机械</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39B7403">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20211004642000000922</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DEF9705">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42220298195</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58AD1F11">
            <w:pPr>
              <w:jc w:val="center"/>
              <w:rPr>
                <w:rFonts w:ascii="Times New Roman" w:hAnsi="Times New Roman" w:cs="Times New Roman"/>
                <w:szCs w:val="21"/>
                <w:highlight w:val="none"/>
              </w:rPr>
            </w:pPr>
            <w:r>
              <w:rPr>
                <w:rFonts w:ascii="Times New Roman" w:hAnsi="Times New Roman" w:cs="Times New Roman"/>
                <w:color w:val="auto"/>
                <w:szCs w:val="28"/>
              </w:rPr>
              <w:t>专职</w:t>
            </w:r>
          </w:p>
        </w:tc>
      </w:tr>
      <w:tr w14:paraId="3241F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vMerge w:val="continue"/>
            <w:tcBorders>
              <w:left w:val="single" w:color="auto" w:sz="4" w:space="0"/>
              <w:right w:val="single" w:color="auto" w:sz="4" w:space="0"/>
            </w:tcBorders>
            <w:shd w:val="clear" w:color="auto" w:fill="auto"/>
            <w:vAlign w:val="center"/>
          </w:tcPr>
          <w:p w14:paraId="08795EE7">
            <w:pPr>
              <w:rPr>
                <w:rFonts w:ascii="Times New Roman" w:hAnsi="Times New Roman" w:eastAsia="宋体" w:cs="Times New Roman"/>
                <w:szCs w:val="22"/>
                <w:highlight w:val="yellow"/>
              </w:rPr>
            </w:pPr>
          </w:p>
        </w:tc>
        <w:tc>
          <w:tcPr>
            <w:tcW w:w="1051" w:type="dxa"/>
            <w:tcBorders>
              <w:top w:val="single" w:color="auto" w:sz="4" w:space="0"/>
              <w:left w:val="single" w:color="auto" w:sz="4" w:space="0"/>
              <w:bottom w:val="single" w:color="auto" w:sz="4" w:space="0"/>
              <w:right w:val="single" w:color="auto" w:sz="4" w:space="0"/>
            </w:tcBorders>
            <w:shd w:val="clear" w:color="auto" w:fill="auto"/>
            <w:vAlign w:val="center"/>
          </w:tcPr>
          <w:p w14:paraId="1774508C">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邹德新</w:t>
            </w:r>
          </w:p>
        </w:tc>
        <w:tc>
          <w:tcPr>
            <w:tcW w:w="1667" w:type="dxa"/>
            <w:tcBorders>
              <w:top w:val="single" w:color="auto" w:sz="4" w:space="0"/>
              <w:left w:val="single" w:color="auto" w:sz="4" w:space="0"/>
              <w:bottom w:val="single" w:color="auto" w:sz="4" w:space="0"/>
              <w:right w:val="single" w:color="auto" w:sz="4" w:space="0"/>
            </w:tcBorders>
            <w:shd w:val="clear" w:color="auto" w:fill="auto"/>
            <w:vAlign w:val="center"/>
          </w:tcPr>
          <w:p w14:paraId="3FB1241B">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化工工艺</w:t>
            </w:r>
          </w:p>
        </w:tc>
        <w:tc>
          <w:tcPr>
            <w:tcW w:w="2694"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65F47FB">
            <w:pPr>
              <w:pStyle w:val="14"/>
              <w:keepNext w:val="0"/>
              <w:keepLines w:val="0"/>
              <w:widowControl/>
              <w:suppressLineNumbers w:val="0"/>
              <w:bidi w:val="0"/>
              <w:spacing w:before="0" w:beforeAutospacing="0" w:after="0" w:afterAutospacing="0"/>
              <w:ind w:left="0" w:leftChars="0" w:right="0" w:rightChars="0"/>
              <w:rPr>
                <w:rFonts w:hint="default"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2017033420332017420516000194</w:t>
            </w:r>
          </w:p>
        </w:tc>
        <w:tc>
          <w:tcPr>
            <w:tcW w:w="1547" w:type="dxa"/>
            <w:tcBorders>
              <w:top w:val="single" w:color="auto" w:sz="4" w:space="0"/>
              <w:left w:val="single" w:color="auto" w:sz="4" w:space="0"/>
              <w:bottom w:val="single" w:color="auto" w:sz="4" w:space="0"/>
              <w:right w:val="single" w:color="auto" w:sz="4" w:space="0"/>
            </w:tcBorders>
            <w:shd w:val="clear" w:color="auto" w:fill="auto"/>
            <w:vAlign w:val="center"/>
          </w:tcPr>
          <w:p w14:paraId="1333729D">
            <w:pPr>
              <w:pStyle w:val="14"/>
              <w:keepNext w:val="0"/>
              <w:keepLines w:val="0"/>
              <w:widowControl/>
              <w:suppressLineNumbers w:val="0"/>
              <w:bidi w:val="0"/>
              <w:spacing w:before="0" w:beforeAutospacing="0" w:after="0" w:afterAutospacing="0"/>
              <w:ind w:left="0" w:leftChars="0" w:right="0" w:rightChars="0"/>
              <w:rPr>
                <w:rFonts w:hint="eastAsia" w:ascii="Times New Roman" w:hAnsi="Times New Roman" w:eastAsia="宋体" w:cs="Times New Roman"/>
                <w:color w:val="auto"/>
                <w:sz w:val="24"/>
                <w:szCs w:val="24"/>
                <w:lang w:val="en-US" w:eastAsia="zh-CN" w:bidi="ar-SA"/>
              </w:rPr>
            </w:pPr>
            <w:r>
              <w:rPr>
                <w:rFonts w:hint="default" w:ascii="Times New Roman" w:hAnsi="Times New Roman" w:cs="Times New Roman"/>
                <w:color w:val="auto"/>
                <w:sz w:val="24"/>
                <w:szCs w:val="24"/>
                <w:lang w:val="en-US" w:eastAsia="zh-CN"/>
              </w:rPr>
              <w:t>42180199404</w:t>
            </w:r>
          </w:p>
        </w:tc>
        <w:tc>
          <w:tcPr>
            <w:tcW w:w="1554" w:type="dxa"/>
            <w:tcBorders>
              <w:top w:val="single" w:color="auto" w:sz="4" w:space="0"/>
              <w:left w:val="single" w:color="auto" w:sz="4" w:space="0"/>
              <w:bottom w:val="single" w:color="auto" w:sz="4" w:space="0"/>
              <w:right w:val="single" w:color="auto" w:sz="4" w:space="0"/>
            </w:tcBorders>
            <w:shd w:val="clear" w:color="auto" w:fill="auto"/>
            <w:vAlign w:val="center"/>
          </w:tcPr>
          <w:p w14:paraId="36B82AB1">
            <w:pPr>
              <w:jc w:val="center"/>
              <w:rPr>
                <w:rFonts w:ascii="Times New Roman" w:hAnsi="Times New Roman" w:eastAsia="宋体" w:cs="Times New Roman"/>
                <w:szCs w:val="21"/>
                <w:highlight w:val="none"/>
              </w:rPr>
            </w:pPr>
            <w:r>
              <w:rPr>
                <w:rFonts w:ascii="Times New Roman" w:hAnsi="Times New Roman" w:cs="Times New Roman"/>
                <w:color w:val="auto"/>
                <w:szCs w:val="28"/>
              </w:rPr>
              <w:t>专职</w:t>
            </w:r>
          </w:p>
        </w:tc>
      </w:tr>
      <w:tr w14:paraId="55830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4B307FB7">
            <w:pPr>
              <w:adjustRightInd w:val="0"/>
              <w:snapToGrid w:val="0"/>
              <w:jc w:val="center"/>
              <w:rPr>
                <w:rFonts w:ascii="Times New Roman" w:hAnsi="Times New Roman" w:eastAsia="宋体" w:cs="Times New Roman"/>
                <w:szCs w:val="21"/>
                <w:highlight w:val="yellow"/>
              </w:rPr>
            </w:pPr>
            <w:r>
              <w:rPr>
                <w:rFonts w:ascii="Times New Roman" w:hAnsi="Times New Roman" w:eastAsia="宋体" w:cs="Times New Roman"/>
                <w:b/>
                <w:szCs w:val="21"/>
                <w:highlight w:val="none"/>
              </w:rPr>
              <w:t>项目简介</w:t>
            </w:r>
          </w:p>
        </w:tc>
      </w:tr>
      <w:tr w14:paraId="09FE2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1AEFB902">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szCs w:val="21"/>
                <w:highlight w:val="none"/>
              </w:rPr>
            </w:pPr>
            <w:r>
              <w:rPr>
                <w:rFonts w:hint="eastAsia"/>
                <w:szCs w:val="21"/>
                <w:highlight w:val="none"/>
              </w:rPr>
              <w:t>（1）项目名称：海科新源材料科技（湖北）有限公司含尘废酸精制提纯项目。</w:t>
            </w:r>
          </w:p>
          <w:p w14:paraId="698F5DFA">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szCs w:val="21"/>
                <w:highlight w:val="none"/>
              </w:rPr>
            </w:pPr>
            <w:r>
              <w:rPr>
                <w:rFonts w:hint="eastAsia"/>
                <w:szCs w:val="21"/>
                <w:highlight w:val="none"/>
              </w:rPr>
              <w:t>（2）项目性质：技改及其他。</w:t>
            </w:r>
          </w:p>
          <w:p w14:paraId="5CDB45D5">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szCs w:val="21"/>
                <w:highlight w:val="none"/>
              </w:rPr>
            </w:pPr>
            <w:r>
              <w:rPr>
                <w:rFonts w:hint="eastAsia"/>
                <w:szCs w:val="21"/>
                <w:highlight w:val="none"/>
              </w:rPr>
              <w:t>（3）建设单位：海科新源材料科技（湖北）有限公司。</w:t>
            </w:r>
          </w:p>
          <w:p w14:paraId="7463BFE5">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szCs w:val="21"/>
                <w:highlight w:val="none"/>
              </w:rPr>
            </w:pPr>
            <w:r>
              <w:rPr>
                <w:rFonts w:hint="eastAsia"/>
                <w:szCs w:val="21"/>
                <w:highlight w:val="none"/>
              </w:rPr>
              <w:t>（4）建设地点：湖北省宜昌市枝江市姚家港化工园蔡家溪路。</w:t>
            </w:r>
          </w:p>
          <w:p w14:paraId="44E4AA40">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szCs w:val="21"/>
                <w:highlight w:val="none"/>
              </w:rPr>
            </w:pPr>
            <w:r>
              <w:rPr>
                <w:rFonts w:hint="eastAsia"/>
                <w:szCs w:val="21"/>
                <w:highlight w:val="none"/>
              </w:rPr>
              <w:t>（5）建设内容：拟在现有焚烧炉装置界区内，新增过滤器和树脂吸附等设施，将焚烧炉产出的含尘废酸进行脱色除杂，将废酸由危废转变为副产品盐酸，年产量5000吨。</w:t>
            </w:r>
          </w:p>
          <w:p w14:paraId="57C1F3AB">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szCs w:val="21"/>
                <w:highlight w:val="none"/>
              </w:rPr>
            </w:pPr>
            <w:r>
              <w:rPr>
                <w:rFonts w:hint="eastAsia"/>
                <w:szCs w:val="21"/>
                <w:highlight w:val="none"/>
              </w:rPr>
              <w:t>（6）投资额：总投资500万元。</w:t>
            </w:r>
          </w:p>
          <w:p w14:paraId="700363C2">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szCs w:val="21"/>
                <w:highlight w:val="none"/>
              </w:rPr>
            </w:pPr>
            <w:r>
              <w:rPr>
                <w:rFonts w:hint="eastAsia"/>
                <w:szCs w:val="21"/>
                <w:highlight w:val="none"/>
              </w:rPr>
              <w:t>（7）备案情况：本项目于2026年6月15日取得宜昌市发展和改革委员会下发的项目备案证，登记备案项目代码：2605-420583-04-02-945604。</w:t>
            </w:r>
          </w:p>
          <w:p w14:paraId="5926EA80">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szCs w:val="21"/>
                <w:highlight w:val="none"/>
              </w:rPr>
            </w:pPr>
            <w:r>
              <w:rPr>
                <w:rFonts w:hint="eastAsia"/>
                <w:szCs w:val="21"/>
                <w:highlight w:val="none"/>
              </w:rPr>
              <w:t>（8）项目定性：本项目涉及危险化学品的生产和储存，属于危险化学品建设项目。</w:t>
            </w:r>
          </w:p>
          <w:p w14:paraId="57F967F2">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szCs w:val="21"/>
                <w:highlight w:val="none"/>
              </w:rPr>
            </w:pPr>
            <w:r>
              <w:rPr>
                <w:rFonts w:hint="eastAsia"/>
                <w:szCs w:val="21"/>
                <w:highlight w:val="none"/>
              </w:rPr>
              <w:t>（9）产品取证情况：本项目的产品盐酸（CAS号：7647-01-0，危化品目录序号：2507，产能：5000 t/a）属于危险化学品，企业已取得危险化学品安全生产许可证，证书编号（鄂）WH安许证【2026】1346号，有效期至2029年8月3日，安全生产许可证许可范围为：盐酸46477.18吨/年，混酸4609吨/年，次氯酸钠溶液27253.23吨/年，氟化钾631.25吨/年。企业应在本项目竣工验收后对原安全生产许可证中许可的盐酸产能变更到51477.18吨/年。企业取得危险化学品安全生产许可证后，无需再取得危险化学品安全使用许可证。企业在其厂区范围内销售本项目生产的危险化学品，无需取得危险化学品经营许可证。</w:t>
            </w:r>
          </w:p>
        </w:tc>
      </w:tr>
      <w:tr w14:paraId="44B03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754" w:type="dxa"/>
            <w:gridSpan w:val="7"/>
            <w:tcBorders>
              <w:top w:val="single" w:color="auto" w:sz="4" w:space="0"/>
              <w:left w:val="single" w:color="auto" w:sz="4" w:space="0"/>
              <w:bottom w:val="single" w:color="auto" w:sz="4" w:space="0"/>
              <w:right w:val="single" w:color="auto" w:sz="4" w:space="0"/>
            </w:tcBorders>
            <w:shd w:val="clear" w:color="auto" w:fill="auto"/>
            <w:vAlign w:val="center"/>
          </w:tcPr>
          <w:p w14:paraId="0B6D47F6">
            <w:pPr>
              <w:pStyle w:val="7"/>
              <w:adjustRightInd w:val="0"/>
              <w:snapToGrid w:val="0"/>
              <w:spacing w:beforeAutospacing="0" w:afterAutospacing="0"/>
              <w:jc w:val="center"/>
              <w:rPr>
                <w:rFonts w:hint="default" w:ascii="Times New Roman" w:hAnsi="Times New Roman"/>
                <w:bCs/>
                <w:kern w:val="2"/>
                <w:sz w:val="21"/>
                <w:szCs w:val="21"/>
                <w:highlight w:val="none"/>
              </w:rPr>
            </w:pPr>
            <w:r>
              <w:rPr>
                <w:rFonts w:hint="default" w:ascii="Times New Roman" w:hAnsi="Times New Roman"/>
                <w:b/>
                <w:kern w:val="2"/>
                <w:sz w:val="21"/>
                <w:szCs w:val="21"/>
                <w:highlight w:val="none"/>
              </w:rPr>
              <w:t>现场开展工作情况</w:t>
            </w:r>
          </w:p>
        </w:tc>
      </w:tr>
      <w:tr w14:paraId="7F39B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55EC1E1F">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勘察人员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6E4D6E5A">
            <w:pPr>
              <w:adjustRightInd w:val="0"/>
              <w:snapToGrid w:val="0"/>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谭辉、喻植昌</w:t>
            </w:r>
          </w:p>
        </w:tc>
      </w:tr>
      <w:tr w14:paraId="6036C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7A7AC497">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勘察时间</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8E6C4DA">
            <w:pPr>
              <w:adjustRightInd w:val="0"/>
              <w:snapToGrid w:val="0"/>
              <w:jc w:val="center"/>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2026.7.4</w:t>
            </w:r>
          </w:p>
        </w:tc>
      </w:tr>
      <w:tr w14:paraId="7B276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69D3D76D">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勘察任务</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8B36AEE">
            <w:pPr>
              <w:adjustRightInd w:val="0"/>
              <w:snapToGrid w:val="0"/>
              <w:jc w:val="center"/>
              <w:rPr>
                <w:rFonts w:ascii="Times New Roman" w:hAnsi="Times New Roman" w:eastAsia="宋体" w:cs="Times New Roman"/>
                <w:b/>
                <w:szCs w:val="21"/>
                <w:highlight w:val="none"/>
              </w:rPr>
            </w:pPr>
            <w:r>
              <w:rPr>
                <w:rFonts w:ascii="Times New Roman" w:hAnsi="Times New Roman" w:cs="Times New Roman"/>
                <w:color w:val="auto"/>
                <w:szCs w:val="21"/>
              </w:rPr>
              <w:t>现场勘查、收集并核实业主单位提供的安全评价相关资料</w:t>
            </w:r>
          </w:p>
        </w:tc>
      </w:tr>
      <w:tr w14:paraId="25ED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310BA901">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勘察中发</w:t>
            </w:r>
          </w:p>
          <w:p w14:paraId="303A2127">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现的问题</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5EBF79CE">
            <w:pPr>
              <w:jc w:val="center"/>
              <w:rPr>
                <w:rFonts w:hint="default" w:ascii="Times New Roman" w:hAnsi="Times New Roman" w:cs="Times New Roman" w:eastAsiaTheme="minorEastAsia"/>
                <w:szCs w:val="21"/>
                <w:highlight w:val="none"/>
                <w:lang w:val="en-US" w:eastAsia="zh-CN"/>
              </w:rPr>
            </w:pPr>
            <w:r>
              <w:rPr>
                <w:rFonts w:hint="eastAsia" w:ascii="Times New Roman" w:hAnsi="Times New Roman" w:cs="Times New Roman"/>
                <w:szCs w:val="21"/>
                <w:highlight w:val="none"/>
                <w:lang w:val="en-US" w:eastAsia="zh-CN"/>
              </w:rPr>
              <w:t>无</w:t>
            </w:r>
          </w:p>
        </w:tc>
      </w:tr>
      <w:tr w14:paraId="76688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241" w:type="dxa"/>
            <w:tcBorders>
              <w:top w:val="single" w:color="auto" w:sz="4" w:space="0"/>
              <w:left w:val="single" w:color="auto" w:sz="4" w:space="0"/>
              <w:bottom w:val="single" w:color="auto" w:sz="4" w:space="0"/>
              <w:right w:val="single" w:color="auto" w:sz="4" w:space="0"/>
            </w:tcBorders>
            <w:shd w:val="clear" w:color="auto" w:fill="auto"/>
            <w:vAlign w:val="center"/>
          </w:tcPr>
          <w:p w14:paraId="2B7C2CF2">
            <w:pPr>
              <w:adjustRightInd w:val="0"/>
              <w:snapToGrid w:val="0"/>
              <w:jc w:val="center"/>
              <w:rPr>
                <w:rFonts w:ascii="Times New Roman" w:hAnsi="Times New Roman" w:eastAsia="宋体" w:cs="Times New Roman"/>
                <w:b/>
                <w:szCs w:val="21"/>
                <w:highlight w:val="none"/>
              </w:rPr>
            </w:pPr>
            <w:r>
              <w:rPr>
                <w:rFonts w:ascii="Times New Roman" w:hAnsi="Times New Roman" w:eastAsia="宋体" w:cs="Times New Roman"/>
                <w:b/>
                <w:szCs w:val="21"/>
                <w:highlight w:val="none"/>
              </w:rPr>
              <w:t>评价项目其他信息</w:t>
            </w:r>
          </w:p>
        </w:tc>
        <w:tc>
          <w:tcPr>
            <w:tcW w:w="8513" w:type="dxa"/>
            <w:gridSpan w:val="6"/>
            <w:tcBorders>
              <w:top w:val="single" w:color="auto" w:sz="4" w:space="0"/>
              <w:left w:val="single" w:color="auto" w:sz="4" w:space="0"/>
              <w:bottom w:val="single" w:color="auto" w:sz="4" w:space="0"/>
              <w:right w:val="single" w:color="auto" w:sz="4" w:space="0"/>
            </w:tcBorders>
            <w:shd w:val="clear" w:color="auto" w:fill="auto"/>
            <w:vAlign w:val="center"/>
          </w:tcPr>
          <w:p w14:paraId="7F3A4002">
            <w:pPr>
              <w:adjustRightInd w:val="0"/>
              <w:snapToGrid w:val="0"/>
              <w:ind w:firstLine="210" w:firstLineChars="100"/>
              <w:jc w:val="center"/>
              <w:rPr>
                <w:rFonts w:hint="eastAsia" w:ascii="Times New Roman" w:hAnsi="Times New Roman" w:eastAsia="宋体" w:cs="Times New Roman"/>
                <w:highlight w:val="none"/>
                <w:lang w:eastAsia="zh-CN"/>
              </w:rPr>
            </w:pPr>
            <w:r>
              <w:rPr>
                <w:rFonts w:hint="default"/>
                <w:color w:val="auto"/>
                <w:lang w:val="en-US" w:eastAsia="zh-CN"/>
              </w:rPr>
              <w:drawing>
                <wp:inline distT="0" distB="0" distL="114300" distR="114300">
                  <wp:extent cx="4950460" cy="3173730"/>
                  <wp:effectExtent l="0" t="0" r="2540" b="11430"/>
                  <wp:docPr id="4" name="图片 4" descr="757a60466b123eff194e469171a05722"/>
                  <wp:cNvGraphicFramePr/>
                  <a:graphic xmlns:a="http://schemas.openxmlformats.org/drawingml/2006/main">
                    <a:graphicData uri="http://schemas.openxmlformats.org/drawingml/2006/picture">
                      <pic:pic xmlns:pic="http://schemas.openxmlformats.org/drawingml/2006/picture">
                        <pic:nvPicPr>
                          <pic:cNvPr id="4" name="图片 4" descr="757a60466b123eff194e469171a05722"/>
                          <pic:cNvPicPr/>
                        </pic:nvPicPr>
                        <pic:blipFill>
                          <a:blip r:embed="rId4"/>
                          <a:stretch>
                            <a:fillRect/>
                          </a:stretch>
                        </pic:blipFill>
                        <pic:spPr>
                          <a:xfrm>
                            <a:off x="0" y="0"/>
                            <a:ext cx="4950460" cy="3173730"/>
                          </a:xfrm>
                          <a:prstGeom prst="rect">
                            <a:avLst/>
                          </a:prstGeom>
                        </pic:spPr>
                      </pic:pic>
                    </a:graphicData>
                  </a:graphic>
                </wp:inline>
              </w:drawing>
            </w:r>
          </w:p>
        </w:tc>
      </w:tr>
    </w:tbl>
    <w:p w14:paraId="097FEAEA">
      <w:pPr>
        <w:rPr>
          <w:highlight w:val="yellow"/>
        </w:rPr>
      </w:pPr>
    </w:p>
    <w:sectPr>
      <w:pgSz w:w="12240" w:h="15840"/>
      <w:pgMar w:top="1440" w:right="1800" w:bottom="1440" w:left="1800" w:header="720" w:footer="72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F8B1CB"/>
    <w:multiLevelType w:val="multilevel"/>
    <w:tmpl w:val="3EF8B1CB"/>
    <w:lvl w:ilvl="0" w:tentative="0">
      <w:start w:val="1"/>
      <w:numFmt w:val="decimal"/>
      <w:suff w:val="nothing"/>
      <w:lvlText w:val="%1  "/>
      <w:lvlJc w:val="center"/>
      <w:pPr>
        <w:tabs>
          <w:tab w:val="left" w:pos="0"/>
        </w:tabs>
        <w:ind w:left="0" w:firstLine="0"/>
      </w:pPr>
      <w:rPr>
        <w:rFonts w:hint="default" w:ascii="Times New Roman" w:hAnsi="Times New Roman" w:eastAsia="宋体" w:cs="宋体"/>
        <w:b/>
        <w:sz w:val="32"/>
      </w:rPr>
    </w:lvl>
    <w:lvl w:ilvl="1" w:tentative="0">
      <w:start w:val="1"/>
      <w:numFmt w:val="decimal"/>
      <w:suff w:val="nothing"/>
      <w:lvlText w:val="%1.%2  "/>
      <w:lvlJc w:val="left"/>
      <w:pPr>
        <w:tabs>
          <w:tab w:val="left" w:pos="0"/>
        </w:tabs>
        <w:ind w:left="0" w:firstLine="0"/>
      </w:pPr>
      <w:rPr>
        <w:rFonts w:hint="default" w:ascii="Times New Roman" w:hAnsi="Times New Roman" w:eastAsia="宋体" w:cs="宋体"/>
        <w:b/>
        <w:sz w:val="32"/>
      </w:rPr>
    </w:lvl>
    <w:lvl w:ilvl="2" w:tentative="0">
      <w:start w:val="1"/>
      <w:numFmt w:val="decimal"/>
      <w:suff w:val="nothing"/>
      <w:lvlText w:val="%1.%2.%3  "/>
      <w:lvlJc w:val="left"/>
      <w:pPr>
        <w:tabs>
          <w:tab w:val="left" w:pos="420"/>
        </w:tabs>
        <w:ind w:left="0" w:firstLine="0"/>
      </w:pPr>
      <w:rPr>
        <w:rFonts w:hint="default" w:ascii="Times New Roman" w:hAnsi="Times New Roman" w:eastAsia="宋体" w:cs="宋体"/>
        <w:b/>
        <w:i w:val="0"/>
        <w:iCs w:val="0"/>
        <w:sz w:val="28"/>
      </w:rPr>
    </w:lvl>
    <w:lvl w:ilvl="3" w:tentative="0">
      <w:start w:val="1"/>
      <w:numFmt w:val="decimal"/>
      <w:suff w:val="nothing"/>
      <w:lvlText w:val="%1.%2.%3.%4  "/>
      <w:lvlJc w:val="left"/>
      <w:pPr>
        <w:tabs>
          <w:tab w:val="left" w:pos="420"/>
        </w:tabs>
        <w:ind w:left="0" w:firstLine="0"/>
      </w:pPr>
      <w:rPr>
        <w:rFonts w:hint="default" w:ascii="Times New Roman" w:hAnsi="Times New Roman" w:eastAsia="宋体" w:cs="宋体"/>
        <w:sz w:val="28"/>
      </w:rPr>
    </w:lvl>
    <w:lvl w:ilvl="4" w:tentative="0">
      <w:start w:val="1"/>
      <w:numFmt w:val="decimal"/>
      <w:lvlRestart w:val="2"/>
      <w:suff w:val="nothing"/>
      <w:lvlText w:val="表%1.%2-%5  "/>
      <w:lvlJc w:val="left"/>
      <w:pPr>
        <w:tabs>
          <w:tab w:val="left" w:pos="0"/>
        </w:tabs>
        <w:ind w:left="0" w:firstLine="0"/>
      </w:pPr>
      <w:rPr>
        <w:rFonts w:hint="default" w:ascii="Times New Roman" w:hAnsi="Times New Roman" w:eastAsia="宋体" w:cs="宋体"/>
        <w:sz w:val="21"/>
      </w:rPr>
    </w:lvl>
    <w:lvl w:ilvl="5" w:tentative="0">
      <w:start w:val="1"/>
      <w:numFmt w:val="decimal"/>
      <w:lvlRestart w:val="2"/>
      <w:suff w:val="nothing"/>
      <w:lvlText w:val="图%1.%2-%6  "/>
      <w:lvlJc w:val="left"/>
      <w:pPr>
        <w:tabs>
          <w:tab w:val="left" w:pos="420"/>
        </w:tabs>
        <w:ind w:left="0" w:firstLine="0"/>
      </w:pPr>
      <w:rPr>
        <w:rFonts w:hint="default" w:ascii="Times New Roman" w:hAnsi="Times New Roman" w:eastAsia="宋体" w:cs="宋体"/>
        <w:b/>
        <w:bCs/>
        <w:sz w:val="21"/>
        <w:szCs w:val="21"/>
      </w:rPr>
    </w:lvl>
    <w:lvl w:ilvl="6" w:tentative="0">
      <w:start w:val="1"/>
      <w:numFmt w:val="decimal"/>
      <w:lvlRestart w:val="4"/>
      <w:pStyle w:val="13"/>
      <w:suff w:val="nothing"/>
      <w:lvlText w:val="（%7）"/>
      <w:lvlJc w:val="left"/>
      <w:pPr>
        <w:tabs>
          <w:tab w:val="left" w:pos="420"/>
        </w:tabs>
        <w:ind w:left="-82" w:hanging="420"/>
      </w:pPr>
      <w:rPr>
        <w:rFonts w:hint="default" w:ascii="Times New Roman" w:hAnsi="Times New Roman" w:eastAsia="宋体" w:cs="宋体"/>
      </w:rPr>
    </w:lvl>
    <w:lvl w:ilvl="7" w:tentative="0">
      <w:start w:val="1"/>
      <w:numFmt w:val="decimal"/>
      <w:lvlRestart w:val="5"/>
      <w:suff w:val="nothing"/>
      <w:lvlText w:val="%8"/>
      <w:lvlJc w:val="center"/>
      <w:pPr>
        <w:tabs>
          <w:tab w:val="left" w:pos="420"/>
        </w:tabs>
        <w:ind w:left="0" w:firstLine="0"/>
      </w:pPr>
      <w:rPr>
        <w:rFonts w:hint="default" w:ascii="Times New Roman" w:hAnsi="Times New Roman" w:eastAsia="宋体" w:cs="宋体"/>
        <w:sz w:val="21"/>
      </w:rPr>
    </w:lvl>
    <w:lvl w:ilvl="8" w:tentative="0">
      <w:start w:val="1"/>
      <w:numFmt w:val="decimal"/>
      <w:lvlText w:val="%1.%2.%3.%4.%5.%6.%7.%8.%9."/>
      <w:lvlJc w:val="left"/>
      <w:pPr>
        <w:ind w:left="1583" w:hanging="1583"/>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3ZmQwZTA3M2Y1OGFkNmQwNDliMDgxZTAxYjVjOGQifQ=="/>
  </w:docVars>
  <w:rsids>
    <w:rsidRoot w:val="00C32FF9"/>
    <w:rsid w:val="00013114"/>
    <w:rsid w:val="00035D91"/>
    <w:rsid w:val="0005239F"/>
    <w:rsid w:val="00094E03"/>
    <w:rsid w:val="0017216C"/>
    <w:rsid w:val="00194A85"/>
    <w:rsid w:val="001A0318"/>
    <w:rsid w:val="001B60DE"/>
    <w:rsid w:val="002452E5"/>
    <w:rsid w:val="002462B9"/>
    <w:rsid w:val="00297BEE"/>
    <w:rsid w:val="002F2F9A"/>
    <w:rsid w:val="003131E3"/>
    <w:rsid w:val="00332E9D"/>
    <w:rsid w:val="0033323F"/>
    <w:rsid w:val="00353FDF"/>
    <w:rsid w:val="00356E23"/>
    <w:rsid w:val="00363F20"/>
    <w:rsid w:val="00391608"/>
    <w:rsid w:val="003C11AC"/>
    <w:rsid w:val="003C565C"/>
    <w:rsid w:val="003E1B58"/>
    <w:rsid w:val="003F67B9"/>
    <w:rsid w:val="00414835"/>
    <w:rsid w:val="00416E5D"/>
    <w:rsid w:val="00434CD9"/>
    <w:rsid w:val="00443F57"/>
    <w:rsid w:val="00483F4E"/>
    <w:rsid w:val="00495FC9"/>
    <w:rsid w:val="004A2C1D"/>
    <w:rsid w:val="004A5A46"/>
    <w:rsid w:val="004B7939"/>
    <w:rsid w:val="004D4AA6"/>
    <w:rsid w:val="004D71F6"/>
    <w:rsid w:val="004E2002"/>
    <w:rsid w:val="004E3860"/>
    <w:rsid w:val="004F1602"/>
    <w:rsid w:val="005A2343"/>
    <w:rsid w:val="005E7707"/>
    <w:rsid w:val="00647FFB"/>
    <w:rsid w:val="00656C7A"/>
    <w:rsid w:val="00677166"/>
    <w:rsid w:val="006B2ACB"/>
    <w:rsid w:val="006C336F"/>
    <w:rsid w:val="006D1D4D"/>
    <w:rsid w:val="006F7F1B"/>
    <w:rsid w:val="00720ED1"/>
    <w:rsid w:val="00721B3F"/>
    <w:rsid w:val="00722F42"/>
    <w:rsid w:val="007313A4"/>
    <w:rsid w:val="007712C4"/>
    <w:rsid w:val="00771D99"/>
    <w:rsid w:val="00774C79"/>
    <w:rsid w:val="007A34FC"/>
    <w:rsid w:val="007A4CEF"/>
    <w:rsid w:val="00800545"/>
    <w:rsid w:val="00806D0C"/>
    <w:rsid w:val="0088430C"/>
    <w:rsid w:val="008D11A5"/>
    <w:rsid w:val="00930DEA"/>
    <w:rsid w:val="00981C78"/>
    <w:rsid w:val="00995F48"/>
    <w:rsid w:val="009A0DE0"/>
    <w:rsid w:val="009D2677"/>
    <w:rsid w:val="00A22952"/>
    <w:rsid w:val="00A82471"/>
    <w:rsid w:val="00A93DE5"/>
    <w:rsid w:val="00AA0C3E"/>
    <w:rsid w:val="00AA4740"/>
    <w:rsid w:val="00AB228D"/>
    <w:rsid w:val="00AB72A2"/>
    <w:rsid w:val="00AC0DCA"/>
    <w:rsid w:val="00AF3EF1"/>
    <w:rsid w:val="00B144A6"/>
    <w:rsid w:val="00B269FD"/>
    <w:rsid w:val="00B4020B"/>
    <w:rsid w:val="00B419DC"/>
    <w:rsid w:val="00B53840"/>
    <w:rsid w:val="00B75E9C"/>
    <w:rsid w:val="00B903CD"/>
    <w:rsid w:val="00B92338"/>
    <w:rsid w:val="00BB7406"/>
    <w:rsid w:val="00C30872"/>
    <w:rsid w:val="00C32FF9"/>
    <w:rsid w:val="00C457EC"/>
    <w:rsid w:val="00C8520B"/>
    <w:rsid w:val="00C91158"/>
    <w:rsid w:val="00CA474B"/>
    <w:rsid w:val="00CE7B1A"/>
    <w:rsid w:val="00D10924"/>
    <w:rsid w:val="00D11F37"/>
    <w:rsid w:val="00D20D6B"/>
    <w:rsid w:val="00D21C2D"/>
    <w:rsid w:val="00D329D7"/>
    <w:rsid w:val="00D84782"/>
    <w:rsid w:val="00D85DBF"/>
    <w:rsid w:val="00D94369"/>
    <w:rsid w:val="00DC2E91"/>
    <w:rsid w:val="00DC3813"/>
    <w:rsid w:val="00F21D5C"/>
    <w:rsid w:val="00F34C2B"/>
    <w:rsid w:val="00F54203"/>
    <w:rsid w:val="00F57A83"/>
    <w:rsid w:val="00F71732"/>
    <w:rsid w:val="00F72317"/>
    <w:rsid w:val="00FB5DDF"/>
    <w:rsid w:val="01007C92"/>
    <w:rsid w:val="0920073E"/>
    <w:rsid w:val="0A0C5713"/>
    <w:rsid w:val="0D961914"/>
    <w:rsid w:val="11510E8C"/>
    <w:rsid w:val="11BA0B86"/>
    <w:rsid w:val="11C73A95"/>
    <w:rsid w:val="128B2640"/>
    <w:rsid w:val="1D162824"/>
    <w:rsid w:val="1E1341F9"/>
    <w:rsid w:val="1E344F8D"/>
    <w:rsid w:val="21902E98"/>
    <w:rsid w:val="21BC6AF9"/>
    <w:rsid w:val="22B81835"/>
    <w:rsid w:val="25930DF5"/>
    <w:rsid w:val="25AB7ABF"/>
    <w:rsid w:val="28B430CE"/>
    <w:rsid w:val="2C80502C"/>
    <w:rsid w:val="2CA63131"/>
    <w:rsid w:val="2CAA797B"/>
    <w:rsid w:val="3169606F"/>
    <w:rsid w:val="3305310D"/>
    <w:rsid w:val="344A0388"/>
    <w:rsid w:val="36BE09F1"/>
    <w:rsid w:val="38792EFD"/>
    <w:rsid w:val="3CFA504F"/>
    <w:rsid w:val="3D603CF6"/>
    <w:rsid w:val="44BC33A0"/>
    <w:rsid w:val="450E67AE"/>
    <w:rsid w:val="486707C9"/>
    <w:rsid w:val="51CB7E06"/>
    <w:rsid w:val="53152E2A"/>
    <w:rsid w:val="53F112C3"/>
    <w:rsid w:val="57F70492"/>
    <w:rsid w:val="594E62E6"/>
    <w:rsid w:val="5B61415A"/>
    <w:rsid w:val="5F611536"/>
    <w:rsid w:val="5F9438E2"/>
    <w:rsid w:val="61C14EDA"/>
    <w:rsid w:val="62316557"/>
    <w:rsid w:val="6C3C7313"/>
    <w:rsid w:val="6C8406EF"/>
    <w:rsid w:val="74DB6D98"/>
    <w:rsid w:val="77177C82"/>
    <w:rsid w:val="77CA4989"/>
    <w:rsid w:val="787D00C6"/>
    <w:rsid w:val="7A794689"/>
    <w:rsid w:val="7A8B625A"/>
    <w:rsid w:val="7C3E3BFB"/>
    <w:rsid w:val="7F9B5A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qFormat="1"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2">
    <w:name w:val="Body Text Indent"/>
    <w:basedOn w:val="1"/>
    <w:semiHidden/>
    <w:unhideWhenUsed/>
    <w:qFormat/>
    <w:uiPriority w:val="0"/>
    <w:pPr>
      <w:spacing w:after="120" w:afterLines="0" w:afterAutospacing="0"/>
      <w:ind w:left="420" w:leftChars="200"/>
    </w:pPr>
  </w:style>
  <w:style w:type="paragraph" w:styleId="3">
    <w:name w:val="Balloon Text"/>
    <w:basedOn w:val="1"/>
    <w:link w:val="18"/>
    <w:autoRedefine/>
    <w:qFormat/>
    <w:uiPriority w:val="0"/>
    <w:rPr>
      <w:sz w:val="18"/>
      <w:szCs w:val="18"/>
    </w:rPr>
  </w:style>
  <w:style w:type="paragraph" w:styleId="4">
    <w:name w:val="footer"/>
    <w:basedOn w:val="1"/>
    <w:link w:val="17"/>
    <w:autoRedefine/>
    <w:qFormat/>
    <w:uiPriority w:val="0"/>
    <w:pPr>
      <w:tabs>
        <w:tab w:val="center" w:pos="4153"/>
        <w:tab w:val="right" w:pos="8306"/>
      </w:tabs>
      <w:snapToGrid w:val="0"/>
      <w:jc w:val="left"/>
    </w:pPr>
    <w:rPr>
      <w:sz w:val="18"/>
      <w:szCs w:val="18"/>
    </w:rPr>
  </w:style>
  <w:style w:type="paragraph" w:styleId="5">
    <w:name w:val="header"/>
    <w:basedOn w:val="1"/>
    <w:link w:val="16"/>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qFormat/>
    <w:uiPriority w:val="39"/>
    <w:pPr>
      <w:spacing w:line="360" w:lineRule="auto"/>
      <w:ind w:left="420" w:leftChars="200" w:firstLine="883" w:firstLineChars="200"/>
    </w:pPr>
    <w:rPr>
      <w:rFonts w:ascii="Times New Roman" w:hAnsi="Times New Roman" w:eastAsia="宋体"/>
      <w:sz w:val="28"/>
      <w:szCs w:val="22"/>
    </w:rPr>
  </w:style>
  <w:style w:type="paragraph" w:styleId="7">
    <w:name w:val="Normal (Web)"/>
    <w:basedOn w:val="1"/>
    <w:autoRedefine/>
    <w:qFormat/>
    <w:uiPriority w:val="0"/>
    <w:pPr>
      <w:widowControl/>
      <w:spacing w:beforeAutospacing="1" w:afterAutospacing="1"/>
      <w:jc w:val="left"/>
    </w:pPr>
    <w:rPr>
      <w:rFonts w:hint="eastAsia" w:ascii="宋体" w:hAnsi="宋体" w:eastAsia="宋体" w:cs="Times New Roman"/>
      <w:kern w:val="0"/>
      <w:sz w:val="24"/>
    </w:rPr>
  </w:style>
  <w:style w:type="paragraph" w:styleId="8">
    <w:name w:val="Body Text First Indent 2"/>
    <w:basedOn w:val="2"/>
    <w:next w:val="1"/>
    <w:autoRedefine/>
    <w:semiHidden/>
    <w:unhideWhenUsed/>
    <w:qFormat/>
    <w:uiPriority w:val="0"/>
    <w:pPr>
      <w:ind w:firstLine="420" w:firstLineChars="200"/>
    </w:pPr>
  </w:style>
  <w:style w:type="character" w:styleId="11">
    <w:name w:val="page number"/>
    <w:basedOn w:val="10"/>
    <w:autoRedefine/>
    <w:qFormat/>
    <w:uiPriority w:val="0"/>
  </w:style>
  <w:style w:type="paragraph" w:customStyle="1" w:styleId="12">
    <w:name w:val="__1 正文-安评"/>
    <w:autoRedefine/>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 w:type="paragraph" w:customStyle="1" w:styleId="13">
    <w:name w:val="__1 正文（1）序号-安评"/>
    <w:basedOn w:val="12"/>
    <w:autoRedefine/>
    <w:qFormat/>
    <w:uiPriority w:val="0"/>
    <w:pPr>
      <w:widowControl/>
      <w:numPr>
        <w:ilvl w:val="6"/>
        <w:numId w:val="1"/>
      </w:numPr>
      <w:tabs>
        <w:tab w:val="left" w:pos="0"/>
        <w:tab w:val="clear" w:pos="420"/>
      </w:tabs>
      <w:ind w:left="0" w:firstLine="1134" w:firstLineChars="200"/>
      <w:jc w:val="left"/>
    </w:pPr>
    <w:rPr>
      <w:bCs/>
      <w:szCs w:val="24"/>
    </w:rPr>
  </w:style>
  <w:style w:type="paragraph" w:customStyle="1" w:styleId="14">
    <w:name w:val="__3 表格单行内容-安评"/>
    <w:qFormat/>
    <w:uiPriority w:val="0"/>
    <w:pPr>
      <w:adjustRightInd w:val="0"/>
      <w:snapToGrid w:val="0"/>
      <w:jc w:val="center"/>
    </w:pPr>
    <w:rPr>
      <w:rFonts w:ascii="Times New Roman" w:hAnsi="Times New Roman" w:eastAsia="宋体" w:cs="Times New Roman"/>
      <w:sz w:val="21"/>
      <w:lang w:val="en-US" w:eastAsia="zh-CN" w:bidi="ar-SA"/>
    </w:rPr>
  </w:style>
  <w:style w:type="paragraph" w:customStyle="1" w:styleId="15">
    <w:name w:val="最终1 正文-景深安评"/>
    <w:autoRedefine/>
    <w:qFormat/>
    <w:uiPriority w:val="0"/>
    <w:pPr>
      <w:widowControl w:val="0"/>
      <w:adjustRightInd w:val="0"/>
      <w:snapToGrid w:val="0"/>
      <w:spacing w:line="360" w:lineRule="auto"/>
      <w:ind w:firstLine="200" w:firstLineChars="200"/>
      <w:jc w:val="both"/>
    </w:pPr>
    <w:rPr>
      <w:rFonts w:ascii="Times New Roman" w:hAnsi="Times New Roman" w:eastAsia="宋体" w:cs="Times New Roman"/>
      <w:sz w:val="28"/>
      <w:lang w:val="en-US" w:eastAsia="zh-CN" w:bidi="ar-SA"/>
    </w:rPr>
  </w:style>
  <w:style w:type="character" w:customStyle="1" w:styleId="16">
    <w:name w:val="页眉 字符"/>
    <w:basedOn w:val="10"/>
    <w:link w:val="5"/>
    <w:autoRedefine/>
    <w:qFormat/>
    <w:uiPriority w:val="0"/>
    <w:rPr>
      <w:rFonts w:asciiTheme="minorHAnsi" w:hAnsiTheme="minorHAnsi" w:eastAsiaTheme="minorEastAsia" w:cstheme="minorBidi"/>
      <w:kern w:val="2"/>
      <w:sz w:val="18"/>
      <w:szCs w:val="18"/>
    </w:rPr>
  </w:style>
  <w:style w:type="character" w:customStyle="1" w:styleId="17">
    <w:name w:val="页脚 字符"/>
    <w:basedOn w:val="10"/>
    <w:link w:val="4"/>
    <w:autoRedefine/>
    <w:qFormat/>
    <w:uiPriority w:val="0"/>
    <w:rPr>
      <w:rFonts w:asciiTheme="minorHAnsi" w:hAnsiTheme="minorHAnsi" w:eastAsiaTheme="minorEastAsia" w:cstheme="minorBidi"/>
      <w:kern w:val="2"/>
      <w:sz w:val="18"/>
      <w:szCs w:val="18"/>
    </w:rPr>
  </w:style>
  <w:style w:type="character" w:customStyle="1" w:styleId="18">
    <w:name w:val="批注框文本 字符"/>
    <w:basedOn w:val="10"/>
    <w:link w:val="3"/>
    <w:autoRedefine/>
    <w:qFormat/>
    <w:uiPriority w:val="0"/>
    <w:rPr>
      <w:rFonts w:asciiTheme="minorHAnsi" w:hAnsiTheme="minorHAnsi" w:eastAsiaTheme="minorEastAsia" w:cstheme="minorBidi"/>
      <w:kern w:val="2"/>
      <w:sz w:val="18"/>
      <w:szCs w:val="18"/>
    </w:rPr>
  </w:style>
  <w:style w:type="paragraph" w:styleId="19">
    <w:name w:val="List Paragraph"/>
    <w:basedOn w:val="1"/>
    <w:autoRedefine/>
    <w:unhideWhenUsed/>
    <w:qFormat/>
    <w:uiPriority w:val="99"/>
    <w:pPr>
      <w:ind w:firstLine="420" w:firstLineChars="200"/>
    </w:pPr>
  </w:style>
  <w:style w:type="paragraph" w:customStyle="1" w:styleId="20">
    <w:name w:val="font5"/>
    <w:basedOn w:val="1"/>
    <w:autoRedefine/>
    <w:unhideWhenUsed/>
    <w:qFormat/>
    <w:uiPriority w:val="0"/>
    <w:pPr>
      <w:widowControl/>
      <w:spacing w:before="100" w:beforeAutospacing="1" w:after="100" w:afterAutospacing="1"/>
      <w:jc w:val="left"/>
    </w:pPr>
    <w:rPr>
      <w:rFonts w:hint="eastAsia" w:ascii="宋体" w:hAnsi="宋体" w:eastAsia="宋体" w:cs="Times New Roman"/>
      <w:snapToGrid w:val="0"/>
      <w:kern w:val="0"/>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mycomputer</Company>
  <Pages>2</Pages>
  <Words>934</Words>
  <Characters>1349</Characters>
  <Lines>8</Lines>
  <Paragraphs>2</Paragraphs>
  <TotalTime>0</TotalTime>
  <ScaleCrop>false</ScaleCrop>
  <LinksUpToDate>false</LinksUpToDate>
  <CharactersWithSpaces>1350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2016-10-06T02:34:00Z</dcterms:created>
  <dc:creator>Administrator.PC-20160318MCPU</dc:creator>
  <cp:lastModifiedBy>CH3Orange</cp:lastModifiedBy>
  <dcterms:modified xsi:type="dcterms:W3CDTF">2026-10-08T08:16:52Z</dcterms:modified>
  <cp:revision>45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D4D798EE1ABB4CE7BE99AF5490E01CBB_13</vt:lpwstr>
  </property>
  <property fmtid="{D5CDD505-2E9C-101B-9397-08002B2CF9AE}" pid="4" name="KSOTemplateDocerSaveRecord">
    <vt:lpwstr>eyJoZGlkIjoiNDEzYWI3OTBlNGUzNmI1MTAwOWY1ZjViODk2YWJmN2UiLCJ1c2VySWQiOiIxNTM1ODQ0NDI4In0=</vt:lpwstr>
  </property>
</Properties>
</file>