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788C6B2E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color w:val="auto"/>
          <w:sz w:val="44"/>
          <w:szCs w:val="44"/>
        </w:rPr>
      </w:pPr>
      <w:r>
        <w:rPr>
          <w:rFonts w:hint="eastAsia" w:ascii="方正小标宋_GBK" w:hAnsi="宋体" w:eastAsia="方正小标宋_GBK" w:cs="方正小标宋_GBK"/>
          <w:b/>
          <w:color w:val="auto"/>
          <w:sz w:val="44"/>
          <w:szCs w:val="44"/>
        </w:rPr>
        <w:t>安全评价报告信息公布表</w:t>
      </w:r>
    </w:p>
    <w:tbl>
      <w:tblPr>
        <w:tblStyle w:val="8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667"/>
        <w:gridCol w:w="1345"/>
        <w:gridCol w:w="1349"/>
        <w:gridCol w:w="1547"/>
        <w:gridCol w:w="1554"/>
      </w:tblGrid>
      <w:tr w14:paraId="0F7C7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84E88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auto"/>
                <w:szCs w:val="21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A4331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D1785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auto"/>
                <w:szCs w:val="21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9B7CCE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b/>
                <w:color w:val="auto"/>
                <w:szCs w:val="21"/>
                <w:lang w:val="en-US" w:eastAsia="zh-CN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APJ-（鄂）-</w:t>
            </w:r>
            <w:r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  <w:t>002</w:t>
            </w:r>
          </w:p>
        </w:tc>
      </w:tr>
      <w:tr w14:paraId="110165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D974C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9CA43D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华鲁恒升（荆州）有限公司</w:t>
            </w:r>
          </w:p>
        </w:tc>
      </w:tr>
      <w:tr w14:paraId="194659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ED9B6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DBD40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年产20万吨BDO、16万吨NMP及3万吨PBAT生物可降解材料一体化项目（年产20万吨BDO、5万吨NMP项目）安全验收评价报告</w:t>
            </w:r>
          </w:p>
        </w:tc>
      </w:tr>
      <w:tr w14:paraId="25DBB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5517D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CA49B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石油加工业，化学原料、化学品及医药制造业</w:t>
            </w:r>
          </w:p>
        </w:tc>
      </w:tr>
      <w:tr w14:paraId="2D87A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1CBD1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安全评价过程控制情况</w:t>
            </w:r>
          </w:p>
        </w:tc>
      </w:tr>
      <w:tr w14:paraId="46D5B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E9CB8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安全评价</w:t>
            </w:r>
          </w:p>
          <w:p w14:paraId="2B54C41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项目管理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492B3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项目组长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7DE04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B15A6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过程控制负责人</w:t>
            </w:r>
          </w:p>
        </w:tc>
      </w:tr>
      <w:tr w14:paraId="74073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CF4A56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915A1D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夏鹏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CD72CB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szCs w:val="21"/>
                <w:lang w:eastAsia="zh-CN"/>
              </w:rPr>
            </w:pPr>
            <w:r>
              <w:rPr>
                <w:rFonts w:hint="eastAsia" w:eastAsia="宋体"/>
                <w:color w:val="auto"/>
                <w:szCs w:val="28"/>
                <w:lang w:val="en-US" w:eastAsia="zh-CN"/>
              </w:rPr>
              <w:t>王冬梅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8A2D38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eastAsia="宋体"/>
                <w:color w:val="auto"/>
                <w:szCs w:val="28"/>
                <w:lang w:val="en-US" w:eastAsia="zh-CN"/>
              </w:rPr>
              <w:t>余海波</w:t>
            </w:r>
          </w:p>
        </w:tc>
      </w:tr>
      <w:tr w14:paraId="5243C1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E681E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编制</w:t>
            </w:r>
          </w:p>
          <w:p w14:paraId="19C91F3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过程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6E2D9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报告编制人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21361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报告提交日期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3B1E3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F9833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报告审批人</w:t>
            </w:r>
          </w:p>
        </w:tc>
      </w:tr>
      <w:tr w14:paraId="0FDC8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3B4EA0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BCFF18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lang w:val="en-US" w:eastAsia="zh-CN"/>
              </w:rPr>
              <w:t>鲁小芳、夏鹏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C23B86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  <w:t>20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  <w:t>25.4.1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75403B">
            <w:pPr>
              <w:adjustRightInd w:val="0"/>
              <w:snapToGrid w:val="0"/>
              <w:jc w:val="center"/>
              <w:rPr>
                <w:rFonts w:hint="default" w:eastAsiaTheme="minorEastAsia"/>
                <w:color w:val="auto"/>
                <w:szCs w:val="28"/>
                <w:lang w:val="en-US" w:eastAsia="zh-CN"/>
              </w:rPr>
            </w:pPr>
            <w:r>
              <w:rPr>
                <w:rFonts w:hint="eastAsia"/>
                <w:color w:val="auto"/>
                <w:szCs w:val="28"/>
                <w:lang w:val="en-US" w:eastAsia="zh-CN"/>
              </w:rPr>
              <w:t>周智鑫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316E3B">
            <w:pPr>
              <w:adjustRightInd w:val="0"/>
              <w:snapToGrid w:val="0"/>
              <w:jc w:val="center"/>
              <w:rPr>
                <w:rFonts w:hint="eastAsia" w:eastAsiaTheme="minorEastAsia"/>
                <w:color w:val="auto"/>
                <w:szCs w:val="28"/>
                <w:lang w:eastAsia="zh-CN"/>
              </w:rPr>
            </w:pPr>
            <w:r>
              <w:rPr>
                <w:rFonts w:hint="eastAsia" w:eastAsia="宋体"/>
                <w:color w:val="auto"/>
                <w:szCs w:val="28"/>
                <w:lang w:val="en-US" w:eastAsia="zh-CN"/>
              </w:rPr>
              <w:t>王冬梅</w:t>
            </w:r>
          </w:p>
        </w:tc>
      </w:tr>
      <w:tr w14:paraId="15D80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A6FB9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安全</w:t>
            </w:r>
          </w:p>
          <w:p w14:paraId="7D382DB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评价</w:t>
            </w:r>
          </w:p>
          <w:p w14:paraId="0BEC799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</w:t>
            </w:r>
          </w:p>
          <w:p w14:paraId="23D25A2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参与</w:t>
            </w:r>
          </w:p>
          <w:p w14:paraId="1AC8F70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ED544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姓名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1724E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认定专业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1DE01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安全评价师从业识别卡/</w:t>
            </w:r>
          </w:p>
          <w:p w14:paraId="4E0BD6C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证书编号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AD3D6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注册安全工程师注册证号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2A124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是否专职</w:t>
            </w:r>
          </w:p>
        </w:tc>
      </w:tr>
      <w:tr w14:paraId="4CEFE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9B2A98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876CFC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bookmarkStart w:id="0" w:name="_GoBack"/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叶朦</w:t>
            </w:r>
            <w:bookmarkEnd w:id="0"/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ED4149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化工</w:t>
            </w: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C7FBC6">
            <w:pPr>
              <w:jc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039947/S011032000110203000729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381FD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CE2C75">
            <w:pPr>
              <w:jc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szCs w:val="21"/>
                <w:highlight w:val="none"/>
              </w:rPr>
              <w:t>专职</w:t>
            </w:r>
          </w:p>
        </w:tc>
      </w:tr>
      <w:tr w14:paraId="61E218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233D16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7AA02A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王冬梅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6A6FAC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614FB4">
            <w:pPr>
              <w:jc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03094</w:t>
            </w: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/S011032000110191000567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6E7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42180175741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9DF008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szCs w:val="21"/>
                <w:highlight w:val="none"/>
              </w:rPr>
              <w:t>专职</w:t>
            </w:r>
          </w:p>
        </w:tc>
      </w:tr>
      <w:tr w14:paraId="7A9C11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446CA7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4C9D6E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鲁小芳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8FBE75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AA8F4A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036168/S011032000110193000940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21119F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BC74C8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专职</w:t>
            </w:r>
          </w:p>
        </w:tc>
      </w:tr>
      <w:tr w14:paraId="3D33B6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C4CA49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24A897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夏鹏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7F54B4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3B254A">
            <w:pPr>
              <w:jc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035984/S011032000110192000988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2D0ACC">
            <w:pPr>
              <w:jc w:val="center"/>
              <w:rPr>
                <w:rFonts w:ascii="Times New Roman" w:hAnsi="Times New Roman" w:eastAsia="宋体" w:cs="Times New Roman"/>
                <w:b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CD6D5">
            <w:pPr>
              <w:jc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szCs w:val="21"/>
                <w:highlight w:val="none"/>
              </w:rPr>
              <w:t>专职</w:t>
            </w:r>
          </w:p>
        </w:tc>
      </w:tr>
      <w:tr w14:paraId="12696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F6C8CA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03B86D"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冀仕盛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E9EF32"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  <w:lang w:eastAsia="zh-CN"/>
              </w:rPr>
              <w:t>电气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1ADBB3"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  <w:t>012346/0800000000207709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655F2A">
            <w:pPr>
              <w:jc w:val="center"/>
              <w:rPr>
                <w:rFonts w:ascii="Times New Roman" w:hAnsi="Times New Roman" w:eastAsia="宋体" w:cs="Times New Roman"/>
                <w:b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AF5244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szCs w:val="21"/>
                <w:highlight w:val="none"/>
              </w:rPr>
              <w:t>专职</w:t>
            </w:r>
          </w:p>
        </w:tc>
      </w:tr>
      <w:tr w14:paraId="7A9C6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D7527D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5C43B5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谭辉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61E04E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化工工艺/化工机械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929769">
            <w:pPr>
              <w:jc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028934/S011032000110192001025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9DC1A">
            <w:pPr>
              <w:jc w:val="center"/>
              <w:rPr>
                <w:rFonts w:ascii="Times New Roman" w:hAnsi="Times New Roman" w:eastAsia="宋体" w:cs="Times New Roman"/>
                <w:b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42180175866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B2D843">
            <w:pPr>
              <w:jc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szCs w:val="21"/>
                <w:highlight w:val="none"/>
              </w:rPr>
              <w:t>专职</w:t>
            </w:r>
          </w:p>
        </w:tc>
      </w:tr>
      <w:tr w14:paraId="43068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AA71A9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225C7C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丁鹏程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2C89D6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ED5EB7">
            <w:pPr>
              <w:jc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039995</w:t>
            </w:r>
            <w:r>
              <w:rPr>
                <w:rFonts w:ascii="Times New Roman" w:hAnsi="Times New Roman" w:cs="Times New Roman"/>
                <w:color w:val="auto"/>
                <w:szCs w:val="28"/>
                <w:highlight w:val="none"/>
              </w:rPr>
              <w:t>/</w:t>
            </w: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S011032000110203000932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8FE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932908">
            <w:pPr>
              <w:jc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szCs w:val="21"/>
                <w:highlight w:val="none"/>
              </w:rPr>
              <w:t>专职</w:t>
            </w:r>
          </w:p>
        </w:tc>
      </w:tr>
      <w:tr w14:paraId="1BAE1A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FF19D5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621D00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王海波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A3AF0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化工工艺/安全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D666E5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</w:rPr>
              <w:t>035981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/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</w:rPr>
              <w:t>S011032000110192001402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2076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42180199405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F3824">
            <w:pPr>
              <w:jc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专职</w:t>
            </w:r>
          </w:p>
        </w:tc>
      </w:tr>
      <w:tr w14:paraId="45DBF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C19EC2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CC5A20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余海波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93CFE3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9EED63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auto"/>
                <w:highlight w:val="none"/>
              </w:rPr>
              <w:t>0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36169/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</w:rPr>
              <w:t>S011032000110193001025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F4858A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</w:rPr>
              <w:t>42220298195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7CA8AD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专职</w:t>
            </w:r>
          </w:p>
        </w:tc>
      </w:tr>
      <w:tr w14:paraId="7C4F2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50B8DA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797B39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秦朝伟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2D2BF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F6CDD5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/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7B07C3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42250413443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A4021E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专职</w:t>
            </w:r>
          </w:p>
        </w:tc>
      </w:tr>
      <w:tr w14:paraId="5FF618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042E1D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F77E15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lang w:val="en-US" w:eastAsia="zh-CN"/>
              </w:rPr>
              <w:t>周智鑫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BBAEAD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化工</w:t>
            </w:r>
            <w:r>
              <w:rPr>
                <w:rFonts w:hint="eastAsia" w:ascii="Times New Roman" w:hAnsi="Times New Roman" w:cs="Times New Roman"/>
                <w:color w:val="auto"/>
                <w:szCs w:val="28"/>
                <w:lang w:val="en-US" w:eastAsia="zh-CN"/>
              </w:rPr>
              <w:t>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8D7F89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035980/S011032000110192001446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95F94E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Cs w:val="21"/>
              </w:rPr>
              <w:t>42190219314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B37865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专职</w:t>
            </w:r>
          </w:p>
        </w:tc>
      </w:tr>
      <w:tr w14:paraId="12ECE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532C5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项目简介</w:t>
            </w:r>
          </w:p>
        </w:tc>
      </w:tr>
      <w:tr w14:paraId="7EEE3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968FA5">
            <w:pPr>
              <w:adjustRightInd w:val="0"/>
              <w:snapToGrid w:val="0"/>
              <w:ind w:firstLine="480" w:firstLineChars="20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/>
                <w:color w:val="auto"/>
                <w:sz w:val="24"/>
                <w:lang w:eastAsia="zh-CN"/>
              </w:rPr>
              <w:t>根据项目备案证，华鲁恒升（荆州）有限公司年产20万吨BDO、16万吨NMP及3万吨PBAT生物可降解材料一体化项目批准建设内容：建设20万吨/年BDO装置、3万吨/年PBAT装置、10万吨/年NMP装置（含2套合成装置）、6万吨/年NMP回收装置及配套装置和公辅设施。后期初步设计过程中，因市场原因，将NMP装置产能由16万吨/年调整至5万吨/年（含1套合成装置，取消了6万吨/年NMP回收装置），并取消了3万吨/年PBAT装置（含副产THF3300吨）。故本次安全验收评价范围为20万吨/年BDO装置、5万吨/年NMP装置及配套装置和公辅设施，符合国家产业政策，符合省市产业发展规划。建设地位于江陵县化工园区内。</w:t>
            </w:r>
          </w:p>
        </w:tc>
      </w:tr>
      <w:tr w14:paraId="23252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AE6008">
            <w:pPr>
              <w:pStyle w:val="7"/>
              <w:adjustRightInd w:val="0"/>
              <w:snapToGrid w:val="0"/>
              <w:spacing w:beforeAutospacing="0" w:afterAutospacing="0"/>
              <w:jc w:val="center"/>
              <w:rPr>
                <w:rFonts w:hint="default" w:ascii="Times New Roman" w:hAnsi="Times New Roman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/>
                <w:b/>
                <w:color w:val="auto"/>
                <w:kern w:val="2"/>
                <w:sz w:val="21"/>
                <w:szCs w:val="21"/>
              </w:rPr>
              <w:t>现场开展工作情况</w:t>
            </w:r>
          </w:p>
        </w:tc>
      </w:tr>
      <w:tr w14:paraId="19BF1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AAC17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09194A">
            <w:pPr>
              <w:adjustRightInd w:val="0"/>
              <w:snapToGrid w:val="0"/>
              <w:jc w:val="center"/>
              <w:rPr>
                <w:rFonts w:hint="eastAsia" w:ascii="Times New Roman" w:hAnsi="Times New Roman" w:cs="Times New Roman" w:eastAsiaTheme="minorEastAsia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夏鹏</w:t>
            </w:r>
            <w:r>
              <w:rPr>
                <w:rFonts w:hint="eastAsia" w:ascii="Times New Roman" w:hAnsi="Times New Roman" w:cs="Times New Roman"/>
                <w:color w:val="auto"/>
                <w:sz w:val="24"/>
              </w:rPr>
              <w:t>、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鲁小芳</w:t>
            </w:r>
          </w:p>
        </w:tc>
      </w:tr>
      <w:tr w14:paraId="3843AD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88573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097035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Cs w:val="21"/>
              </w:rPr>
              <w:t>20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25</w:t>
            </w:r>
            <w:r>
              <w:rPr>
                <w:rFonts w:ascii="Times New Roman" w:hAnsi="Times New Roman" w:eastAsia="宋体" w:cs="Times New Roman"/>
                <w:color w:val="auto"/>
                <w:szCs w:val="21"/>
              </w:rPr>
              <w:t>.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10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</w:rPr>
              <w:t>.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11（勘查时间）、2025.12.2（复查时间）</w:t>
            </w:r>
          </w:p>
        </w:tc>
      </w:tr>
      <w:tr w14:paraId="18F507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30BB6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D6278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现场勘查、收集并核实业主单位提供的安全评价相关资料</w:t>
            </w:r>
          </w:p>
        </w:tc>
      </w:tr>
      <w:tr w14:paraId="25E579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47672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勘察中发</w:t>
            </w:r>
          </w:p>
          <w:p w14:paraId="4006E0C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0883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总体及全厂公辅设施主要工艺参数中部分报警值、联锁值与安全设施设计专篇不一致。</w:t>
            </w:r>
          </w:p>
          <w:p w14:paraId="3A5331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丁炔二醇装置Ⅰ、丁炔二醇装置Ⅱ：低压乙炔压缩机入口压力低限、低低限分别设计为0.5KPa和0.1KPa，实际低限、低低限分别设置为0.6KPa和0.5KPa；</w:t>
            </w:r>
          </w:p>
          <w:p w14:paraId="0FCB1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高压乙炔压缩机入口压力低限、低低限分别设计为1.5KPa和0.5KPa，实际低限、低低限分别设置为6KPa和5KPa；</w:t>
            </w:r>
          </w:p>
          <w:p w14:paraId="7F3813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低压乙炔压缩机出口压力高限设计为37KPa和50KPa，实际设置为43KPa；</w:t>
            </w:r>
          </w:p>
          <w:p w14:paraId="186FAD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高压乙炔压缩机出口压力高限、高高限分别设计为0.25MPa和0.275MPa，实际高限、高高限分别设置为0.31MPa和0.35MPa；</w:t>
            </w:r>
          </w:p>
          <w:p w14:paraId="1AA256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循环乙炔压缩机出口压力高限、高高限分别设计为0.25MPa和0.275MPa，实际高限、高高限分别设置为0.31MPa和0.35MPa；</w:t>
            </w:r>
          </w:p>
          <w:p w14:paraId="47C83A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水洗塔、硫酸塔、碱塔液位低低限设计为10%，实际设置为15%；</w:t>
            </w:r>
          </w:p>
          <w:p w14:paraId="30173F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硫酸储罐、碱储罐液位高限、高高限分别设计为80%和90%，实际高限、高高限分别设置为70%和80%。</w:t>
            </w:r>
          </w:p>
          <w:p w14:paraId="50CA22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丁二醇装置Ⅰ、丁二醇装置Ⅱ：高压加氢反应器温度高限设计为160℃，实际未设置。</w:t>
            </w:r>
          </w:p>
          <w:p w14:paraId="00C017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丁二醇精馏装置Ⅰ、丁二醇精馏装置Ⅱ：丁二醇产品班槽液位高限设计为80%，实际设置为85%。</w:t>
            </w:r>
          </w:p>
          <w:p w14:paraId="5E72F5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乙炔气柜：气柜水分离器03V-7202液位低报设计为400mm，低低报设计为300mm，实际低报设置为200mm，低低报设置为50mm；</w:t>
            </w:r>
          </w:p>
          <w:p w14:paraId="6AF9BD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气柜03V-7201 SIL2的联锁、报警值实际设置与设计不一致；</w:t>
            </w:r>
          </w:p>
          <w:p w14:paraId="6ECE4D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地下槽03V-4204的液位报警、联锁实际设置与设计不一致；</w:t>
            </w:r>
          </w:p>
          <w:p w14:paraId="076FC8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气柜水分离器03V-7202液位未设置报警值。</w:t>
            </w:r>
          </w:p>
          <w:p w14:paraId="621584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丁炔二醇装置部分设备规格与安全设施设计专篇不一致：如低压乙炔压缩机（01C-9101A/B/C）：设计驱动机功率250kw，实际功率110kw；高压乙炔压缩机（01C-9102A/B/C）：设计驱动机功率315kw，实际功率280kw；催化剂浓缩器（01F-9102A1/A2~F1/F2）；甲醛稀溶液槽（01V-9117）：设计容积226m³，实际容积200m³。</w:t>
            </w:r>
          </w:p>
          <w:p w14:paraId="789E29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丁炔二醇装置室外设备区新增凝结水回收器，设备布置图未变更。</w:t>
            </w:r>
          </w:p>
          <w:p w14:paraId="7F89BA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丁二醇精馏装置EL±0平面01V-98设备位置与设备布置图不一致。</w:t>
            </w:r>
          </w:p>
          <w:p w14:paraId="29BC8B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乙炔发生装置部分设备位号与安全设施设计专篇不一致：如密封水冷却器设计位号03V-6202/6102，实际位号03E-6202/6102。</w:t>
            </w:r>
          </w:p>
          <w:p w14:paraId="3121E0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BDO装置可燃/有毒气体探测器配置中部分报警限值与安全设施设计专篇不一致。</w:t>
            </w:r>
          </w:p>
          <w:p w14:paraId="0EB416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PSA1解吸气出口压力低报设计为5.1，实际设置为4.6，另外的B套和C套问题一致；</w:t>
            </w:r>
          </w:p>
          <w:p w14:paraId="0AEFE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07TE-70338A/07TE-70339A/07TE-70340A/07TE-70341A温度高高报设计为90，实际设置为95，另外的B套和C套问题一致；</w:t>
            </w:r>
          </w:p>
          <w:p w14:paraId="0A3DDC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07TE-70401A/07TE-70402A温度高报设计为90，实际设置为85，另外的B套和C套问题一致；</w:t>
            </w:r>
          </w:p>
          <w:p w14:paraId="11AFC2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07TE-70403A/07TE-70404A/07TE-70405A温度高高报设计为155，高报设计为150，实际只有高报100，无高高报，另外的B套和C套问题一致。</w:t>
            </w:r>
          </w:p>
          <w:p w14:paraId="0C29C4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1#合成装置：事故排放罐09V-31011的液位报警实际设置与设计不一致。</w:t>
            </w:r>
          </w:p>
          <w:p w14:paraId="1A6AA7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丙类罐组：污水储罐09TK-34301的压力PT34301报警实际设置与设计不一致；</w:t>
            </w:r>
          </w:p>
          <w:p w14:paraId="60B83F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退油储罐09TK-34302的压力PT34303、液位LT34308、液位LT34304报警实际设置与设计不一致；</w:t>
            </w:r>
          </w:p>
          <w:p w14:paraId="64FC6F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轻组分储罐09TK-34303的压力PT34305报警实际设置与设计不一致；退油储罐液位09LT-34304与退油泵、导热油出料切断阀的联锁未设置。</w:t>
            </w:r>
          </w:p>
          <w:p w14:paraId="64A789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电石转运站作为仓库使用，存在包装箱、包装袋等可燃物。</w:t>
            </w:r>
          </w:p>
          <w:p w14:paraId="243E2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both"/>
              <w:textAlignment w:val="auto"/>
              <w:rPr>
                <w:rFonts w:hint="default" w:cs="Times New Roman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丁炔二醇装置甲醛稀溶液槽液位计无上下限标识。</w:t>
            </w:r>
          </w:p>
        </w:tc>
      </w:tr>
      <w:tr w14:paraId="56359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76800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DCE57F">
            <w:pPr>
              <w:ind w:left="0" w:lef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auto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lang w:eastAsia="zh-CN"/>
              </w:rPr>
              <w:drawing>
                <wp:inline distT="0" distB="0" distL="114300" distR="114300">
                  <wp:extent cx="5260340" cy="3944620"/>
                  <wp:effectExtent l="0" t="0" r="16510" b="17780"/>
                  <wp:docPr id="4" name="图片 4" descr="20251011人员照片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20251011人员照片 (1)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0340" cy="3944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eastAsia="宋体" w:cs="Times New Roman"/>
                <w:color w:val="auto"/>
                <w:lang w:eastAsia="zh-CN"/>
              </w:rPr>
              <w:drawing>
                <wp:inline distT="0" distB="0" distL="114300" distR="114300">
                  <wp:extent cx="5260340" cy="3944620"/>
                  <wp:effectExtent l="0" t="0" r="16510" b="17780"/>
                  <wp:docPr id="7" name="图片 7" descr="2025_12_0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2025_12_02 (1)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0340" cy="3944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eastAsia="宋体" w:cs="Times New Roman"/>
                <w:color w:val="auto"/>
                <w:lang w:eastAsia="zh-CN"/>
              </w:rPr>
              <w:drawing>
                <wp:inline distT="0" distB="0" distL="114300" distR="114300">
                  <wp:extent cx="7017385" cy="5262880"/>
                  <wp:effectExtent l="0" t="0" r="13970" b="12065"/>
                  <wp:docPr id="8" name="图片 8" descr="2025_12_02 (4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2025_12_02 (4)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7017385" cy="526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eastAsia="宋体" w:cs="Times New Roman"/>
                <w:color w:val="auto"/>
                <w:lang w:eastAsia="zh-CN"/>
              </w:rPr>
              <w:drawing>
                <wp:inline distT="0" distB="0" distL="114300" distR="114300">
                  <wp:extent cx="7017385" cy="5262880"/>
                  <wp:effectExtent l="0" t="0" r="13970" b="12065"/>
                  <wp:docPr id="9" name="图片 9" descr="2025_12_02 (7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2025_12_02 (7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7017385" cy="526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eastAsia="宋体" w:cs="Times New Roman"/>
                <w:color w:val="auto"/>
                <w:lang w:eastAsia="zh-CN"/>
              </w:rPr>
              <w:drawing>
                <wp:inline distT="0" distB="0" distL="114300" distR="114300">
                  <wp:extent cx="7017385" cy="5262880"/>
                  <wp:effectExtent l="0" t="0" r="13970" b="12065"/>
                  <wp:docPr id="10" name="图片 10" descr="2025_12_02 (14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2025_12_02 (14)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7017385" cy="526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eastAsia="宋体" w:cs="Times New Roman"/>
                <w:color w:val="auto"/>
                <w:lang w:eastAsia="zh-CN"/>
              </w:rPr>
              <w:drawing>
                <wp:inline distT="0" distB="0" distL="114300" distR="114300">
                  <wp:extent cx="7017385" cy="5262880"/>
                  <wp:effectExtent l="0" t="0" r="13970" b="12065"/>
                  <wp:docPr id="12" name="图片 12" descr="2025_12_02 (18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2025_12_02 (18)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7017385" cy="526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eastAsia="宋体" w:cs="Times New Roman"/>
                <w:color w:val="auto"/>
                <w:lang w:eastAsia="zh-CN"/>
              </w:rPr>
              <w:drawing>
                <wp:inline distT="0" distB="0" distL="114300" distR="114300">
                  <wp:extent cx="5266690" cy="3950335"/>
                  <wp:effectExtent l="0" t="0" r="10160" b="12065"/>
                  <wp:docPr id="5" name="图片 5" descr="2025_12_02+10_13_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2025_12_02+10_13_50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3950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D6F87C2">
      <w:pPr>
        <w:rPr>
          <w:color w:val="auto"/>
        </w:rPr>
      </w:pPr>
    </w:p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WY2MGY4MWNkNzUzMTQyYmEzNGM0YmM3YWJkMDExYjkifQ=="/>
  </w:docVars>
  <w:rsids>
    <w:rsidRoot w:val="00C32FF9"/>
    <w:rsid w:val="00035D91"/>
    <w:rsid w:val="0005239F"/>
    <w:rsid w:val="001A0318"/>
    <w:rsid w:val="002452E5"/>
    <w:rsid w:val="00297BEE"/>
    <w:rsid w:val="0033323F"/>
    <w:rsid w:val="00353FDF"/>
    <w:rsid w:val="00356E23"/>
    <w:rsid w:val="00363F20"/>
    <w:rsid w:val="003C11AC"/>
    <w:rsid w:val="003C565C"/>
    <w:rsid w:val="003E1B58"/>
    <w:rsid w:val="003F67B9"/>
    <w:rsid w:val="00416E5D"/>
    <w:rsid w:val="00443F57"/>
    <w:rsid w:val="004A2C1D"/>
    <w:rsid w:val="004B7939"/>
    <w:rsid w:val="004D4AA6"/>
    <w:rsid w:val="004D71F6"/>
    <w:rsid w:val="004E3860"/>
    <w:rsid w:val="005A2343"/>
    <w:rsid w:val="005E7707"/>
    <w:rsid w:val="00647FFB"/>
    <w:rsid w:val="00656C7A"/>
    <w:rsid w:val="00677166"/>
    <w:rsid w:val="006B2ACB"/>
    <w:rsid w:val="006C336F"/>
    <w:rsid w:val="006D1D4D"/>
    <w:rsid w:val="006F7F1B"/>
    <w:rsid w:val="00720ED1"/>
    <w:rsid w:val="00721B3F"/>
    <w:rsid w:val="007313A4"/>
    <w:rsid w:val="007712C4"/>
    <w:rsid w:val="00771D99"/>
    <w:rsid w:val="00774C79"/>
    <w:rsid w:val="007A34FC"/>
    <w:rsid w:val="007A4CEF"/>
    <w:rsid w:val="00800545"/>
    <w:rsid w:val="00806D0C"/>
    <w:rsid w:val="0088430C"/>
    <w:rsid w:val="008D11A5"/>
    <w:rsid w:val="00930DEA"/>
    <w:rsid w:val="009A0DE0"/>
    <w:rsid w:val="00A82471"/>
    <w:rsid w:val="00AA4740"/>
    <w:rsid w:val="00AB228D"/>
    <w:rsid w:val="00AB72A2"/>
    <w:rsid w:val="00AC0DCA"/>
    <w:rsid w:val="00AF3EF1"/>
    <w:rsid w:val="00B269FD"/>
    <w:rsid w:val="00B419DC"/>
    <w:rsid w:val="00B53840"/>
    <w:rsid w:val="00B75E9C"/>
    <w:rsid w:val="00B92338"/>
    <w:rsid w:val="00BB7406"/>
    <w:rsid w:val="00C30872"/>
    <w:rsid w:val="00C32FF9"/>
    <w:rsid w:val="00C457EC"/>
    <w:rsid w:val="00CA474B"/>
    <w:rsid w:val="00CE7B1A"/>
    <w:rsid w:val="00D11F37"/>
    <w:rsid w:val="00D20D6B"/>
    <w:rsid w:val="00D21C2D"/>
    <w:rsid w:val="00D84782"/>
    <w:rsid w:val="00D85DBF"/>
    <w:rsid w:val="00D94369"/>
    <w:rsid w:val="00DC2E91"/>
    <w:rsid w:val="00F21D5C"/>
    <w:rsid w:val="00F34C2B"/>
    <w:rsid w:val="00F54203"/>
    <w:rsid w:val="00F57A83"/>
    <w:rsid w:val="00F71732"/>
    <w:rsid w:val="00F72317"/>
    <w:rsid w:val="00FB5DDF"/>
    <w:rsid w:val="016B0346"/>
    <w:rsid w:val="019F2CE2"/>
    <w:rsid w:val="0920073E"/>
    <w:rsid w:val="092B29EA"/>
    <w:rsid w:val="093323AE"/>
    <w:rsid w:val="0A0C5713"/>
    <w:rsid w:val="0D622E71"/>
    <w:rsid w:val="0DD02272"/>
    <w:rsid w:val="0F034B58"/>
    <w:rsid w:val="11510E8C"/>
    <w:rsid w:val="117A27F8"/>
    <w:rsid w:val="128B2640"/>
    <w:rsid w:val="18236AA0"/>
    <w:rsid w:val="18262F75"/>
    <w:rsid w:val="1CD92667"/>
    <w:rsid w:val="1EA46497"/>
    <w:rsid w:val="1F286FC1"/>
    <w:rsid w:val="1FEE53C0"/>
    <w:rsid w:val="218D763F"/>
    <w:rsid w:val="21902E98"/>
    <w:rsid w:val="24341996"/>
    <w:rsid w:val="256B6005"/>
    <w:rsid w:val="28B430CE"/>
    <w:rsid w:val="299A55A4"/>
    <w:rsid w:val="2CA63131"/>
    <w:rsid w:val="2DD0059E"/>
    <w:rsid w:val="3169606F"/>
    <w:rsid w:val="352829DE"/>
    <w:rsid w:val="35F218A5"/>
    <w:rsid w:val="36BE09F1"/>
    <w:rsid w:val="38152E19"/>
    <w:rsid w:val="3987315F"/>
    <w:rsid w:val="3B367FDF"/>
    <w:rsid w:val="3C0E7984"/>
    <w:rsid w:val="3CFA504F"/>
    <w:rsid w:val="3D603CF6"/>
    <w:rsid w:val="3E50165A"/>
    <w:rsid w:val="3F911B74"/>
    <w:rsid w:val="3FED07F1"/>
    <w:rsid w:val="42CB4766"/>
    <w:rsid w:val="44BC33A0"/>
    <w:rsid w:val="450E67AE"/>
    <w:rsid w:val="477632B4"/>
    <w:rsid w:val="4A490397"/>
    <w:rsid w:val="4A8F1E9E"/>
    <w:rsid w:val="4F0A3F8B"/>
    <w:rsid w:val="50182265"/>
    <w:rsid w:val="51CB7E06"/>
    <w:rsid w:val="585B4014"/>
    <w:rsid w:val="594E62E6"/>
    <w:rsid w:val="5D6B1023"/>
    <w:rsid w:val="5DD05760"/>
    <w:rsid w:val="5E564E88"/>
    <w:rsid w:val="5EB22D31"/>
    <w:rsid w:val="5FC44107"/>
    <w:rsid w:val="62EE7EDC"/>
    <w:rsid w:val="630864B7"/>
    <w:rsid w:val="64575F83"/>
    <w:rsid w:val="6461774E"/>
    <w:rsid w:val="65DE7D7F"/>
    <w:rsid w:val="696076FA"/>
    <w:rsid w:val="6BDC307B"/>
    <w:rsid w:val="6C3C7313"/>
    <w:rsid w:val="6CA40F55"/>
    <w:rsid w:val="72BA266A"/>
    <w:rsid w:val="745B0E64"/>
    <w:rsid w:val="7678068A"/>
    <w:rsid w:val="7742277E"/>
    <w:rsid w:val="787D00C6"/>
    <w:rsid w:val="79673552"/>
    <w:rsid w:val="7A794689"/>
    <w:rsid w:val="7D81086D"/>
    <w:rsid w:val="7EA90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qFormat="1" w:unhideWhenUsed="0" w:uiPriority="0" w:semiHidden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keepLines/>
      <w:ind w:firstLine="0" w:firstLineChars="0"/>
      <w:jc w:val="left"/>
      <w:outlineLvl w:val="1"/>
    </w:pPr>
    <w:rPr>
      <w:rFonts w:eastAsia="楷体" w:cs="Times New Roman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wordWrap w:val="0"/>
      <w:adjustRightInd w:val="0"/>
      <w:snapToGrid w:val="0"/>
      <w:spacing w:before="62" w:beforeLines="20" w:line="460" w:lineRule="exact"/>
      <w:ind w:firstLine="480" w:firstLineChars="200"/>
    </w:pPr>
    <w:rPr>
      <w:sz w:val="24"/>
    </w:rPr>
  </w:style>
  <w:style w:type="paragraph" w:styleId="4">
    <w:name w:val="Balloon Text"/>
    <w:basedOn w:val="1"/>
    <w:link w:val="12"/>
    <w:qFormat/>
    <w:uiPriority w:val="0"/>
    <w:rPr>
      <w:sz w:val="18"/>
      <w:szCs w:val="18"/>
    </w:rPr>
  </w:style>
  <w:style w:type="paragraph" w:styleId="5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character" w:customStyle="1" w:styleId="10">
    <w:name w:val="页眉 Char"/>
    <w:basedOn w:val="9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Char"/>
    <w:basedOn w:val="9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批注框文本 Char"/>
    <w:basedOn w:val="9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3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mycomputer</Company>
  <Pages>9</Pages>
  <Words>855</Words>
  <Characters>1236</Characters>
  <Lines>7</Lines>
  <Paragraphs>2</Paragraphs>
  <TotalTime>3</TotalTime>
  <ScaleCrop>false</ScaleCrop>
  <LinksUpToDate>false</LinksUpToDate>
  <CharactersWithSpaces>1237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2016-10-06T02:34:00Z</dcterms:created>
  <dc:creator>Administrator.PC-20160318MCPU</dc:creator>
  <cp:lastModifiedBy>butterfly</cp:lastModifiedBy>
  <dcterms:modified xsi:type="dcterms:W3CDTF">2026-06-26T03:05:35Z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CC8312D6E77D4FC8B6121A2CB74A4FAA</vt:lpwstr>
  </property>
  <property fmtid="{D5CDD505-2E9C-101B-9397-08002B2CF9AE}" pid="4" name="KSOTemplateDocerSaveRecord">
    <vt:lpwstr>eyJoZGlkIjoiMWY2MGY4MWNkNzUzMTQyYmEzNGM0YmM3YWJkMDExYjkiLCJ1c2VySWQiOiIyMzY1MDY2OTMifQ==</vt:lpwstr>
  </property>
</Properties>
</file>