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85F12D7">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7"/>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851"/>
        <w:gridCol w:w="1161"/>
        <w:gridCol w:w="1441"/>
        <w:gridCol w:w="1455"/>
        <w:gridCol w:w="1554"/>
      </w:tblGrid>
      <w:tr w14:paraId="03E86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CA9937B">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15F6F74">
            <w:pPr>
              <w:adjustRightInd w:val="0"/>
              <w:snapToGrid w:val="0"/>
              <w:jc w:val="center"/>
              <w:rPr>
                <w:rFonts w:ascii="Times New Roman" w:hAnsi="Times New Roman" w:eastAsia="宋体" w:cs="Times New Roman"/>
                <w:szCs w:val="21"/>
              </w:rPr>
            </w:pPr>
            <w:r>
              <w:rPr>
                <w:rFonts w:ascii="Times New Roman" w:hAnsi="Times New Roman" w:cs="Times New Roman"/>
                <w:szCs w:val="21"/>
              </w:rPr>
              <w:t>湖北景深安全技术有限公司</w:t>
            </w:r>
          </w:p>
        </w:tc>
        <w:tc>
          <w:tcPr>
            <w:tcW w:w="1441" w:type="dxa"/>
            <w:tcBorders>
              <w:top w:val="single" w:color="auto" w:sz="4" w:space="0"/>
              <w:left w:val="single" w:color="auto" w:sz="4" w:space="0"/>
              <w:bottom w:val="single" w:color="auto" w:sz="4" w:space="0"/>
              <w:right w:val="single" w:color="auto" w:sz="4" w:space="0"/>
            </w:tcBorders>
            <w:shd w:val="clear" w:color="auto" w:fill="auto"/>
            <w:vAlign w:val="center"/>
          </w:tcPr>
          <w:p w14:paraId="60A08199">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资质证号</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778F8A">
            <w:pPr>
              <w:adjustRightInd w:val="0"/>
              <w:snapToGrid w:val="0"/>
              <w:jc w:val="center"/>
              <w:rPr>
                <w:rFonts w:hint="default" w:ascii="Times New Roman" w:hAnsi="Times New Roman" w:cs="Times New Roman" w:eastAsiaTheme="minorEastAsia"/>
                <w:b/>
                <w:szCs w:val="21"/>
                <w:lang w:val="en-US" w:eastAsia="zh-CN"/>
              </w:rPr>
            </w:pPr>
            <w:r>
              <w:rPr>
                <w:rFonts w:ascii="Times New Roman" w:hAnsi="Times New Roman" w:cs="Times New Roman"/>
                <w:szCs w:val="21"/>
              </w:rPr>
              <w:t>APJ-（鄂）-</w:t>
            </w:r>
            <w:r>
              <w:rPr>
                <w:rFonts w:hint="eastAsia" w:ascii="Times New Roman" w:hAnsi="Times New Roman" w:cs="Times New Roman"/>
                <w:szCs w:val="21"/>
                <w:lang w:val="en-US" w:eastAsia="zh-CN"/>
              </w:rPr>
              <w:t>002</w:t>
            </w:r>
          </w:p>
        </w:tc>
      </w:tr>
      <w:tr w14:paraId="39160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0A2C86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D241BF6">
            <w:pPr>
              <w:pStyle w:val="12"/>
              <w:keepNext w:val="0"/>
              <w:keepLines w:val="0"/>
              <w:pageBreakBefore w:val="0"/>
              <w:widowControl w:val="0"/>
              <w:kinsoku/>
              <w:wordWrap/>
              <w:overflowPunct/>
              <w:topLinePunct w:val="0"/>
              <w:autoSpaceDE/>
              <w:autoSpaceDN/>
              <w:bidi w:val="0"/>
              <w:adjustRightInd/>
              <w:snapToGrid/>
              <w:spacing w:before="0" w:beforeLines="0"/>
              <w:textAlignment w:val="auto"/>
              <w:rPr>
                <w:rFonts w:ascii="Times New Roman" w:hAnsi="Times New Roman" w:eastAsia="宋体" w:cs="Times New Roman"/>
                <w:szCs w:val="21"/>
              </w:rPr>
            </w:pPr>
            <w:r>
              <w:rPr>
                <w:rFonts w:hint="eastAsia" w:ascii="Times New Roman" w:hAnsi="Times New Roman" w:cs="Times New Roman" w:eastAsiaTheme="minorEastAsia"/>
                <w:b w:val="0"/>
                <w:bCs/>
                <w:sz w:val="21"/>
                <w:szCs w:val="21"/>
                <w:lang w:eastAsia="zh-CN"/>
              </w:rPr>
              <w:t>湖北宜化新能源有限公司</w:t>
            </w:r>
          </w:p>
        </w:tc>
      </w:tr>
      <w:tr w14:paraId="1C43B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392DA77">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421533B">
            <w:pPr>
              <w:adjustRightInd w:val="0"/>
              <w:snapToGrid w:val="0"/>
              <w:jc w:val="center"/>
              <w:rPr>
                <w:rFonts w:hint="default" w:ascii="Times New Roman" w:hAnsi="Times New Roman" w:eastAsia="宋体" w:cs="Times New Roman"/>
                <w:szCs w:val="21"/>
                <w:lang w:val="en-US"/>
              </w:rPr>
            </w:pPr>
            <w:r>
              <w:rPr>
                <w:rFonts w:hint="default" w:ascii="Times New Roman" w:hAnsi="Times New Roman" w:eastAsia="宋体" w:cs="Times New Roman"/>
                <w:szCs w:val="21"/>
                <w:lang w:val="en-US"/>
              </w:rPr>
              <w:t>湖北宜化新能源有限公司20万吨/年烧碱搬迁节能改造项目安全验收评价报告</w:t>
            </w:r>
          </w:p>
        </w:tc>
      </w:tr>
      <w:tr w14:paraId="1C92E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15CB539">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56FD58A">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szCs w:val="21"/>
                <w:lang w:eastAsia="zh-CN"/>
              </w:rPr>
              <w:t>化学原料、化学品及医药制造业</w:t>
            </w:r>
          </w:p>
        </w:tc>
      </w:tr>
      <w:tr w14:paraId="362C0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DC267B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安全评价过程控制情况</w:t>
            </w:r>
          </w:p>
        </w:tc>
      </w:tr>
      <w:tr w14:paraId="4A4B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72B440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w:t>
            </w:r>
          </w:p>
          <w:p w14:paraId="3B41EC8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项目管理</w:t>
            </w: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8ACBE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项目组长</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DF72B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技术负责人</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846B2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过程控制负责人</w:t>
            </w:r>
          </w:p>
        </w:tc>
      </w:tr>
      <w:tr w14:paraId="35D18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BCB319">
            <w:pPr>
              <w:rPr>
                <w:rFonts w:ascii="Times New Roman" w:hAnsi="Times New Roman" w:eastAsia="宋体" w:cs="Times New Roman"/>
                <w:szCs w:val="22"/>
              </w:rPr>
            </w:pP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A78D5F">
            <w:pPr>
              <w:adjustRightInd w:val="0"/>
              <w:snapToGrid w:val="0"/>
              <w:jc w:val="center"/>
              <w:rPr>
                <w:rFonts w:ascii="Times New Roman" w:hAnsi="Times New Roman" w:eastAsia="宋体" w:cs="Times New Roman"/>
                <w:szCs w:val="21"/>
              </w:rPr>
            </w:pPr>
            <w:r>
              <w:rPr>
                <w:rFonts w:hint="default" w:ascii="Times New Roman" w:hAnsi="Times New Roman" w:cs="Times New Roman" w:eastAsiaTheme="minorEastAsia"/>
                <w:szCs w:val="21"/>
                <w:lang w:val="en-US" w:eastAsia="zh-CN"/>
              </w:rPr>
              <w:t>王海波</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383B38">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王冬梅</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294AC4">
            <w:pPr>
              <w:adjustRightInd w:val="0"/>
              <w:snapToGrid w:val="0"/>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余海波</w:t>
            </w:r>
          </w:p>
        </w:tc>
      </w:tr>
      <w:tr w14:paraId="412F2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34882A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编制</w:t>
            </w:r>
          </w:p>
          <w:p w14:paraId="209FB44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w:t>
            </w: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2FEA9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报告编制人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0688F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报告提交日期</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547D315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54FD82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报告审批人</w:t>
            </w:r>
          </w:p>
        </w:tc>
      </w:tr>
      <w:tr w14:paraId="73CE4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32D274">
            <w:pPr>
              <w:rPr>
                <w:rFonts w:ascii="Times New Roman" w:hAnsi="Times New Roman" w:eastAsia="宋体" w:cs="Times New Roman"/>
                <w:szCs w:val="22"/>
              </w:rPr>
            </w:pP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967F79">
            <w:pPr>
              <w:adjustRightInd w:val="0"/>
              <w:snapToGrid w:val="0"/>
              <w:jc w:val="center"/>
              <w:rPr>
                <w:rFonts w:hint="eastAsia" w:ascii="Times New Roman" w:hAnsi="Times New Roman" w:cs="Times New Roman" w:eastAsiaTheme="minorEastAsia"/>
                <w:color w:val="000000" w:themeColor="text1"/>
                <w:szCs w:val="21"/>
                <w:lang w:val="en-US" w:eastAsia="zh-CN"/>
              </w:rPr>
            </w:pPr>
            <w:r>
              <w:rPr>
                <w:rFonts w:hint="eastAsia" w:ascii="Times New Roman" w:hAnsi="Times New Roman" w:eastAsia="宋体" w:cs="Times New Roman"/>
                <w:szCs w:val="21"/>
                <w:lang w:val="en-US" w:eastAsia="zh-CN"/>
              </w:rPr>
              <w:t>鲁小芳、</w:t>
            </w:r>
            <w:r>
              <w:rPr>
                <w:rFonts w:hint="default" w:ascii="Times New Roman" w:hAnsi="Times New Roman" w:cs="Times New Roman" w:eastAsiaTheme="minorEastAsia"/>
                <w:szCs w:val="21"/>
                <w:lang w:val="en-US" w:eastAsia="zh-CN"/>
              </w:rPr>
              <w:t>王海波</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B202FA">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2026.4.26</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06609318">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周智鑫</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AA97A42">
            <w:pPr>
              <w:adjustRightInd w:val="0"/>
              <w:snapToGrid w:val="0"/>
              <w:jc w:val="center"/>
              <w:rPr>
                <w:rFonts w:hint="eastAsia" w:ascii="Times New Roman" w:hAnsi="Times New Roman" w:eastAsia="宋体" w:cs="Times New Roman"/>
                <w:szCs w:val="21"/>
                <w:lang w:eastAsia="zh-CN"/>
              </w:rPr>
            </w:pPr>
            <w:r>
              <w:rPr>
                <w:rFonts w:hint="default" w:ascii="Times New Roman" w:hAnsi="Times New Roman" w:cs="Times New Roman"/>
                <w:color w:val="auto"/>
                <w:szCs w:val="21"/>
                <w:lang w:val="en-US" w:eastAsia="zh-CN"/>
              </w:rPr>
              <w:t>王冬梅</w:t>
            </w:r>
          </w:p>
        </w:tc>
      </w:tr>
      <w:tr w14:paraId="5AE81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2109492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w:t>
            </w:r>
          </w:p>
          <w:p w14:paraId="562F510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w:t>
            </w:r>
          </w:p>
          <w:p w14:paraId="0E2A38E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p w14:paraId="23BAE56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参与</w:t>
            </w:r>
          </w:p>
          <w:p w14:paraId="5A68AB8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CB93461">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姓名</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19E15D0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认定专业</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4DF3D2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安全评价师从业识别卡/</w:t>
            </w:r>
          </w:p>
          <w:p w14:paraId="2F5D63E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证书编号</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2CB0CEF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10AFA8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是否专职</w:t>
            </w:r>
          </w:p>
        </w:tc>
      </w:tr>
      <w:tr w14:paraId="36332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E57C8E2">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FA1C4AB">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王海波</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767F1BF4">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化工工艺</w:t>
            </w:r>
            <w:r>
              <w:rPr>
                <w:rFonts w:hint="default" w:ascii="Times New Roman" w:hAnsi="Times New Roman" w:cs="Times New Roman" w:eastAsiaTheme="minorEastAsia"/>
                <w:szCs w:val="21"/>
                <w:lang w:val="en-US" w:eastAsia="zh-CN"/>
              </w:rPr>
              <w:t>/安全</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9F9C18">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035981</w:t>
            </w:r>
            <w:r>
              <w:rPr>
                <w:rFonts w:hint="eastAsia" w:ascii="Times New Roman" w:hAnsi="Times New Roman" w:cs="Times New Roman" w:eastAsiaTheme="minorEastAsia"/>
                <w:szCs w:val="21"/>
                <w:lang w:val="en-US" w:eastAsia="zh-CN"/>
              </w:rPr>
              <w:t>/</w:t>
            </w:r>
            <w:r>
              <w:rPr>
                <w:rFonts w:hint="default" w:ascii="Times New Roman" w:hAnsi="Times New Roman" w:cs="Times New Roman" w:eastAsiaTheme="minorEastAsia"/>
                <w:szCs w:val="21"/>
                <w:lang w:val="en-US" w:eastAsia="zh-CN"/>
              </w:rPr>
              <w:t>S011032000110192001402</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7E546BFF">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1F2C5ED">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58B72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02D38C0">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0DFFF90">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谭  辉</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2981F6E8">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化工工艺/化工机械</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9AA5A21">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028934</w:t>
            </w:r>
            <w:r>
              <w:rPr>
                <w:rFonts w:hint="eastAsia" w:ascii="Times New Roman" w:hAnsi="Times New Roman" w:cs="Times New Roman" w:eastAsiaTheme="minorEastAsia"/>
                <w:szCs w:val="21"/>
                <w:lang w:val="en-US" w:eastAsia="zh-CN"/>
              </w:rPr>
              <w:t>/</w:t>
            </w:r>
            <w:r>
              <w:rPr>
                <w:rFonts w:hint="default" w:ascii="Times New Roman" w:hAnsi="Times New Roman" w:cs="Times New Roman" w:eastAsiaTheme="minorEastAsia"/>
                <w:szCs w:val="21"/>
                <w:lang w:val="en-US" w:eastAsia="zh-CN"/>
              </w:rPr>
              <w:t>S011032000110192001025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23540542">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F635C2E">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67F75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A57B4ED">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65573E1">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吴迎春</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077932BD">
            <w:pPr>
              <w:jc w:val="center"/>
              <w:rPr>
                <w:rFonts w:hint="eastAsia" w:ascii="Times New Roman" w:hAnsi="Times New Roman" w:cs="Times New Roman" w:eastAsiaTheme="minorEastAsia"/>
                <w:szCs w:val="21"/>
                <w:lang w:val="en-US" w:eastAsia="zh-CN"/>
              </w:rPr>
            </w:pPr>
            <w:r>
              <w:rPr>
                <w:rFonts w:hint="default" w:ascii="Times New Roman" w:hAnsi="Times New Roman" w:eastAsia="宋体" w:cs="Times New Roman"/>
                <w:color w:val="000000" w:themeColor="text1"/>
                <w:sz w:val="24"/>
                <w:szCs w:val="24"/>
                <w:highlight w:val="none"/>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6095B8">
            <w:pPr>
              <w:jc w:val="center"/>
              <w:rPr>
                <w:rFonts w:hint="default" w:ascii="Times New Roman" w:hAnsi="Times New Roman" w:cs="Times New Roman" w:eastAsiaTheme="minorEastAsia"/>
                <w:szCs w:val="21"/>
                <w:lang w:val="en-US" w:eastAsia="zh-CN"/>
              </w:rPr>
            </w:pPr>
            <w:r>
              <w:rPr>
                <w:rFonts w:hint="default" w:ascii="Times New Roman" w:hAnsi="Times New Roman" w:eastAsia="宋体" w:cs="Times New Roman"/>
                <w:color w:val="000000" w:themeColor="text1"/>
                <w:sz w:val="24"/>
                <w:szCs w:val="24"/>
                <w:highlight w:val="none"/>
                <w:lang w:val="en-US" w:eastAsia="zh-CN"/>
              </w:rPr>
              <w:t>0</w:t>
            </w:r>
            <w:r>
              <w:rPr>
                <w:rFonts w:hint="eastAsia" w:ascii="Times New Roman" w:hAnsi="Times New Roman" w:cs="Times New Roman"/>
                <w:color w:val="000000" w:themeColor="text1"/>
                <w:sz w:val="24"/>
                <w:szCs w:val="24"/>
                <w:highlight w:val="none"/>
                <w:lang w:val="en-US" w:eastAsia="zh-CN"/>
              </w:rPr>
              <w:t>33392/</w:t>
            </w:r>
            <w:r>
              <w:rPr>
                <w:rFonts w:hint="default" w:ascii="Times New Roman" w:hAnsi="Times New Roman" w:eastAsia="宋体" w:cs="Times New Roman"/>
                <w:color w:val="000000" w:themeColor="text1"/>
                <w:sz w:val="24"/>
                <w:szCs w:val="24"/>
                <w:highlight w:val="none"/>
                <w:lang w:val="en-US" w:eastAsia="zh-CN"/>
              </w:rPr>
              <w:t>1800000000200430</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3447FDA">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color w:val="000000" w:themeColor="text1"/>
                <w:sz w:val="24"/>
                <w:szCs w:val="24"/>
                <w:highlight w:val="none"/>
                <w:lang w:val="en-US" w:eastAsia="zh-CN"/>
              </w:rPr>
              <w:t>42180199403</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FE17615">
            <w:pPr>
              <w:jc w:val="center"/>
              <w:rPr>
                <w:rFonts w:hint="default" w:ascii="Times New Roman" w:hAnsi="Times New Roman" w:eastAsia="宋体" w:cs="Times New Roman"/>
                <w:szCs w:val="21"/>
              </w:rPr>
            </w:pPr>
            <w:r>
              <w:rPr>
                <w:rFonts w:hint="default" w:ascii="Times New Roman" w:hAnsi="Times New Roman" w:eastAsia="宋体" w:cs="Times New Roman"/>
                <w:szCs w:val="21"/>
              </w:rPr>
              <w:t>专职</w:t>
            </w:r>
          </w:p>
        </w:tc>
      </w:tr>
      <w:tr w14:paraId="0E9E0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E4F97E4">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EC77904">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丁鹏程</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430F2F57">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自动化</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61C877">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eastAsia="宋体" w:cs="Times New Roman"/>
                <w:color w:val="auto"/>
                <w:sz w:val="24"/>
                <w:szCs w:val="24"/>
                <w:highlight w:val="none"/>
                <w:lang w:val="en-US" w:eastAsia="zh-CN"/>
              </w:rPr>
              <w:t>039995/S011032000110203000932</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1146FBDC">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7F35F6F">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3B409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9F5BD57">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8B1324A">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冀仕盛</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763E7CEB">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电气</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2F5F10">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012346</w:t>
            </w:r>
            <w:r>
              <w:rPr>
                <w:rFonts w:hint="default" w:ascii="Times New Roman" w:hAnsi="Times New Roman" w:cs="Times New Roman" w:eastAsiaTheme="minorEastAsia"/>
                <w:szCs w:val="21"/>
                <w:lang w:val="en-US" w:eastAsia="zh-CN"/>
              </w:rPr>
              <w:t>/</w:t>
            </w:r>
            <w:r>
              <w:rPr>
                <w:rFonts w:hint="eastAsia" w:ascii="Times New Roman" w:hAnsi="Times New Roman" w:cs="Times New Roman" w:eastAsiaTheme="minorEastAsia"/>
                <w:szCs w:val="21"/>
                <w:lang w:val="en-US" w:eastAsia="zh-CN"/>
              </w:rPr>
              <w:t>0800000000207709</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08190BFC">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C74914E">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5D0C1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6CFA7F6">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05828F5">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鲁小芳</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7D56523F">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安全</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9EA4F78">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036168/S011032000110193000940</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67F95202">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76864DE">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687E7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28A38DA">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B617AC0">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夏  鹏</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75C46D85">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FBA20E">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035984/S011032000110192000988</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45E3B6D8">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A737FBE">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66A06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688648F">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AA5C625">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袁  飞</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505D015F">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B15727">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4012BDE8">
            <w:pPr>
              <w:jc w:val="center"/>
              <w:rPr>
                <w:rFonts w:hint="eastAsia" w:ascii="Times New Roman" w:hAnsi="Times New Roman" w:cs="Times New Roman"/>
                <w:szCs w:val="21"/>
                <w:lang w:val="en-US" w:eastAsia="zh-CN"/>
              </w:rPr>
            </w:pPr>
            <w:r>
              <w:rPr>
                <w:rFonts w:hint="default" w:ascii="Times New Roman" w:hAnsi="Times New Roman" w:cs="Times New Roman"/>
                <w:color w:val="000000" w:themeColor="text1"/>
                <w:sz w:val="24"/>
                <w:szCs w:val="24"/>
                <w:highlight w:val="none"/>
              </w:rPr>
              <w:t>42220298249</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F176CD5">
            <w:pPr>
              <w:jc w:val="center"/>
              <w:rPr>
                <w:rFonts w:hint="default" w:ascii="Times New Roman" w:hAnsi="Times New Roman" w:eastAsia="宋体" w:cs="Times New Roman"/>
                <w:szCs w:val="21"/>
              </w:rPr>
            </w:pPr>
            <w:r>
              <w:rPr>
                <w:rFonts w:hint="default" w:ascii="Times New Roman" w:hAnsi="Times New Roman" w:eastAsia="宋体" w:cs="Times New Roman"/>
                <w:szCs w:val="21"/>
              </w:rPr>
              <w:t>专职</w:t>
            </w:r>
          </w:p>
        </w:tc>
      </w:tr>
      <w:tr w14:paraId="1D526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BDFFAED">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A27BE7E">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周智鑫</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73F42675">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27EF55">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035980/S011032000110192001446</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880F6F8">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CBCAC2B">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32045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22363E8">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DD958E7">
            <w:pPr>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余海波</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35F09BEB">
            <w:pPr>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机械</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7B3AB6">
            <w:pPr>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036169/S011032000110193001025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6E5034C0">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97AA8A2">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17762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E0FBCA5">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5C953A8">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王冬梅</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2C965560">
            <w:pPr>
              <w:jc w:val="center"/>
              <w:rPr>
                <w:rFonts w:hint="eastAsia" w:ascii="Times New Roman" w:hAnsi="Times New Roman"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642424">
            <w:pPr>
              <w:jc w:val="center"/>
              <w:rPr>
                <w:rFonts w:hint="eastAsia" w:ascii="Times New Roman" w:hAnsi="Times New Roman"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030942/S011032000110191000567</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51DA134B">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42180175741</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64452A2">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1F46F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3C99E6A">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项目简介</w:t>
            </w:r>
          </w:p>
        </w:tc>
      </w:tr>
      <w:tr w14:paraId="1D650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0FB955E">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color w:val="000000" w:themeColor="text1"/>
                <w:sz w:val="21"/>
                <w:szCs w:val="21"/>
                <w:highlight w:val="none"/>
                <w:lang w:val="en-US" w:eastAsia="zh-CN"/>
              </w:rPr>
            </w:pPr>
            <w:bookmarkStart w:id="0" w:name="_Hlk66719015"/>
            <w:r>
              <w:rPr>
                <w:rFonts w:hint="eastAsia"/>
                <w:color w:val="000000" w:themeColor="text1"/>
                <w:sz w:val="21"/>
                <w:szCs w:val="21"/>
                <w:highlight w:val="none"/>
                <w:lang w:val="en-US" w:eastAsia="zh-CN"/>
              </w:rPr>
              <w:t>湖北宜化化工股份有限公司为国有控股主板上市公司，于1996年8月在深交所上市，被誉为中国氮肥第一股。公司控股股东为湖北宜化集团有限责任公司（以下简称“宜化集团”），持有公司19.69%的股份；公司实际控制人为宜昌市国资委，持有宜化集团100%的股份。</w:t>
            </w:r>
          </w:p>
          <w:p w14:paraId="645DEB51">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color w:val="000000" w:themeColor="text1"/>
                <w:sz w:val="21"/>
                <w:szCs w:val="21"/>
                <w:highlight w:val="none"/>
                <w:lang w:val="en-US" w:eastAsia="zh-CN"/>
              </w:rPr>
            </w:pPr>
            <w:r>
              <w:rPr>
                <w:rFonts w:hint="eastAsia"/>
                <w:color w:val="000000" w:themeColor="text1"/>
                <w:sz w:val="21"/>
                <w:szCs w:val="21"/>
                <w:highlight w:val="none"/>
                <w:lang w:val="en-US" w:eastAsia="zh-CN"/>
              </w:rPr>
              <w:t>经过多年发展，湖北宜化已成为国内化肥与化工行业知名企业，产业涵盖磷化工、煤化工、氯碱化工以及精细化工，在湖北、内蒙古、青海、新疆等地拥有27家分子公司，从业人员近8000人。湖北宜化新能源有限公司为湖北宜化化工股份有限公司的全资子公司，经营范围包括电子专用材料、化工产品的制造和销售以及相关技术服务和推广等。</w:t>
            </w:r>
          </w:p>
          <w:p w14:paraId="1EAC51A5">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color w:val="000000" w:themeColor="text1"/>
                <w:sz w:val="21"/>
                <w:szCs w:val="21"/>
                <w:highlight w:val="none"/>
                <w:lang w:val="en-US" w:eastAsia="zh-CN"/>
              </w:rPr>
            </w:pPr>
            <w:r>
              <w:rPr>
                <w:rFonts w:hint="eastAsia"/>
                <w:color w:val="000000" w:themeColor="text1"/>
                <w:sz w:val="21"/>
                <w:szCs w:val="21"/>
                <w:highlight w:val="none"/>
                <w:lang w:val="en-US" w:eastAsia="zh-CN"/>
              </w:rPr>
              <w:t>为促进产业转型升级，增强市场竞争力，湖北宜化成立湖北宜化新能源有限公司，充分发挥宜化自身资源和技术优势，利用先进工艺及产业链优势促进传统产业转型升级，打造出新的业绩增长点。</w:t>
            </w:r>
          </w:p>
          <w:p w14:paraId="6CFABE00">
            <w:pPr>
              <w:pStyle w:val="1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color w:val="000000" w:themeColor="text1"/>
                <w:sz w:val="21"/>
                <w:szCs w:val="21"/>
                <w:highlight w:val="none"/>
                <w:lang w:val="en-US" w:eastAsia="zh-CN"/>
              </w:rPr>
              <w:t>湖北宜化新能源有限公司20万吨/年烧碱搬迁节能改造项目</w:t>
            </w:r>
            <w:r>
              <w:rPr>
                <w:rFonts w:hint="eastAsia"/>
                <w:color w:val="000000" w:themeColor="text1"/>
                <w:sz w:val="21"/>
                <w:szCs w:val="21"/>
                <w:highlight w:val="none"/>
                <w:lang w:eastAsia="zh-CN"/>
              </w:rPr>
              <w:t>于</w:t>
            </w:r>
            <w:r>
              <w:rPr>
                <w:rFonts w:hint="eastAsia"/>
                <w:color w:val="000000" w:themeColor="text1"/>
                <w:sz w:val="21"/>
                <w:szCs w:val="21"/>
                <w:highlight w:val="none"/>
                <w:lang w:val="en-US" w:eastAsia="zh-CN"/>
              </w:rPr>
              <w:t>2024年2月27日</w:t>
            </w:r>
            <w:r>
              <w:rPr>
                <w:rFonts w:hint="eastAsia"/>
                <w:color w:val="000000" w:themeColor="text1"/>
                <w:sz w:val="21"/>
                <w:szCs w:val="21"/>
                <w:highlight w:val="none"/>
                <w:lang w:eastAsia="zh-CN"/>
              </w:rPr>
              <w:t>取得了湖北省</w:t>
            </w:r>
            <w:r>
              <w:rPr>
                <w:rFonts w:hint="eastAsia"/>
                <w:color w:val="000000" w:themeColor="text1"/>
                <w:sz w:val="21"/>
                <w:szCs w:val="21"/>
                <w:highlight w:val="none"/>
                <w:lang w:val="en-US" w:eastAsia="zh-CN"/>
              </w:rPr>
              <w:t>固定资产</w:t>
            </w:r>
            <w:r>
              <w:rPr>
                <w:rFonts w:hint="eastAsia"/>
                <w:color w:val="000000" w:themeColor="text1"/>
                <w:sz w:val="21"/>
                <w:szCs w:val="21"/>
                <w:highlight w:val="none"/>
                <w:lang w:eastAsia="zh-CN"/>
              </w:rPr>
              <w:t>投资项目备案证（登记备案项目代码：2311-420550-04-02-149076）；于2024年4月29日取得了《湖北省应急管理厅建设项目安全条件审查意见书》（鄂危化项目安全条件审字〔2024〕22号）；于20</w:t>
            </w:r>
            <w:r>
              <w:rPr>
                <w:rFonts w:hint="eastAsia"/>
                <w:color w:val="000000" w:themeColor="text1"/>
                <w:sz w:val="21"/>
                <w:szCs w:val="21"/>
                <w:highlight w:val="none"/>
                <w:lang w:val="en-US" w:eastAsia="zh-CN"/>
              </w:rPr>
              <w:t>24</w:t>
            </w:r>
            <w:r>
              <w:rPr>
                <w:rFonts w:hint="eastAsia"/>
                <w:color w:val="000000" w:themeColor="text1"/>
                <w:sz w:val="21"/>
                <w:szCs w:val="21"/>
                <w:highlight w:val="none"/>
                <w:lang w:eastAsia="zh-CN"/>
              </w:rPr>
              <w:t>年</w:t>
            </w:r>
            <w:r>
              <w:rPr>
                <w:rFonts w:hint="eastAsia"/>
                <w:color w:val="000000" w:themeColor="text1"/>
                <w:sz w:val="21"/>
                <w:szCs w:val="21"/>
                <w:highlight w:val="none"/>
                <w:lang w:val="en-US" w:eastAsia="zh-CN"/>
              </w:rPr>
              <w:t>8</w:t>
            </w:r>
            <w:r>
              <w:rPr>
                <w:rFonts w:hint="eastAsia"/>
                <w:color w:val="000000" w:themeColor="text1"/>
                <w:sz w:val="21"/>
                <w:szCs w:val="21"/>
                <w:highlight w:val="none"/>
                <w:lang w:eastAsia="zh-CN"/>
              </w:rPr>
              <w:t>月</w:t>
            </w:r>
            <w:r>
              <w:rPr>
                <w:rFonts w:hint="eastAsia"/>
                <w:color w:val="000000" w:themeColor="text1"/>
                <w:sz w:val="21"/>
                <w:szCs w:val="21"/>
                <w:highlight w:val="none"/>
                <w:lang w:val="en-US" w:eastAsia="zh-CN"/>
              </w:rPr>
              <w:t>12</w:t>
            </w:r>
            <w:r>
              <w:rPr>
                <w:rFonts w:hint="eastAsia"/>
                <w:color w:val="000000" w:themeColor="text1"/>
                <w:sz w:val="21"/>
                <w:szCs w:val="21"/>
                <w:highlight w:val="none"/>
                <w:lang w:eastAsia="zh-CN"/>
              </w:rPr>
              <w:t>日取得了《湖北省应急管理厅建设项目安全设施设计审查意见书》</w:t>
            </w:r>
            <w:r>
              <w:rPr>
                <w:rFonts w:hint="eastAsia"/>
                <w:color w:val="000000" w:themeColor="text1"/>
                <w:sz w:val="21"/>
                <w:szCs w:val="21"/>
                <w:highlight w:val="none"/>
                <w:lang w:val="en-US" w:eastAsia="zh-CN"/>
              </w:rPr>
              <w:t>鄂危化项目安全设计审字〔2024〕27号</w:t>
            </w:r>
            <w:r>
              <w:rPr>
                <w:rFonts w:hint="eastAsia"/>
                <w:snapToGrid/>
                <w:color w:val="000000" w:themeColor="text1"/>
                <w:sz w:val="21"/>
                <w:szCs w:val="21"/>
                <w:highlight w:val="none"/>
                <w:lang w:eastAsia="zh-CN"/>
              </w:rPr>
              <w:t>），于2025年6月20日向宜昌市应急管理局提交了本项目的试生产方案及相关试生产资料，宜昌市应急管理局出具了《危险化学品建设项目试生产方案备案告知书》（危化项目备字〔2025〕20号），试生产期限：2025年6月20日至2026年6月19日</w:t>
            </w:r>
            <w:r>
              <w:rPr>
                <w:rFonts w:hint="eastAsia"/>
                <w:color w:val="000000" w:themeColor="text1"/>
                <w:sz w:val="21"/>
                <w:szCs w:val="21"/>
                <w:highlight w:val="none"/>
                <w:lang w:val="en-US" w:eastAsia="zh-CN"/>
              </w:rPr>
              <w:t>。</w:t>
            </w:r>
            <w:bookmarkEnd w:id="0"/>
          </w:p>
        </w:tc>
      </w:tr>
      <w:tr w14:paraId="08063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1312D7F">
            <w:pPr>
              <w:pStyle w:val="6"/>
              <w:adjustRightInd w:val="0"/>
              <w:snapToGrid w:val="0"/>
              <w:spacing w:beforeAutospacing="0" w:afterAutospacing="0"/>
              <w:jc w:val="center"/>
              <w:rPr>
                <w:rFonts w:hint="default" w:ascii="Times New Roman" w:hAnsi="Times New Roman"/>
                <w:bCs/>
                <w:kern w:val="2"/>
                <w:sz w:val="21"/>
                <w:szCs w:val="21"/>
              </w:rPr>
            </w:pPr>
            <w:r>
              <w:rPr>
                <w:rFonts w:hint="default" w:ascii="Times New Roman" w:hAnsi="Times New Roman"/>
                <w:b/>
                <w:kern w:val="2"/>
                <w:sz w:val="21"/>
                <w:szCs w:val="21"/>
              </w:rPr>
              <w:t>现场开展工作情况</w:t>
            </w:r>
          </w:p>
        </w:tc>
      </w:tr>
      <w:tr w14:paraId="500DE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632AD5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809D87A">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鲁小芳、袁飞、王海波</w:t>
            </w:r>
          </w:p>
        </w:tc>
      </w:tr>
      <w:tr w14:paraId="2B361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669913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5B3D4A6">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highlight w:val="none"/>
                <w:lang w:val="en-US" w:eastAsia="zh-CN"/>
              </w:rPr>
              <w:t>首次勘察2025.11.14  复查2026.1.20</w:t>
            </w:r>
          </w:p>
        </w:tc>
      </w:tr>
      <w:tr w14:paraId="3DF08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7B3307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29171C3">
            <w:pPr>
              <w:adjustRightInd w:val="0"/>
              <w:snapToGrid w:val="0"/>
              <w:jc w:val="center"/>
              <w:rPr>
                <w:rFonts w:ascii="Times New Roman" w:hAnsi="Times New Roman" w:eastAsia="宋体" w:cs="Times New Roman"/>
                <w:b/>
                <w:szCs w:val="21"/>
              </w:rPr>
            </w:pPr>
            <w:r>
              <w:rPr>
                <w:rFonts w:ascii="Times New Roman" w:hAnsi="Times New Roman" w:cs="Times New Roman"/>
                <w:szCs w:val="21"/>
              </w:rPr>
              <w:t>现场勘查、收集并核实业主单位提供的安全评价相关资料</w:t>
            </w:r>
          </w:p>
        </w:tc>
      </w:tr>
      <w:tr w14:paraId="63148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AC094A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勘察中发</w:t>
            </w:r>
          </w:p>
          <w:p w14:paraId="04B5902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29E5F9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r>
              <w:rPr>
                <w:rFonts w:hint="default" w:ascii="宋体" w:hAnsi="宋体" w:eastAsia="宋体" w:cs="宋体"/>
                <w:kern w:val="0"/>
                <w:sz w:val="21"/>
                <w:szCs w:val="21"/>
                <w:lang w:val="en-US" w:eastAsia="zh-CN" w:bidi="ar"/>
              </w:rPr>
              <w:t>烧碱工段一层蒸汽排污阀出口管道未按规范接入排水地沟，阀门开启时高温蒸汽直接外排，存在蒸汽喷溅导致现场作业人员烫伤的安全风险。</w:t>
            </w:r>
          </w:p>
          <w:p w14:paraId="6C8BEE58">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r>
              <w:rPr>
                <w:rFonts w:hint="default" w:ascii="宋体" w:hAnsi="宋体" w:eastAsia="宋体" w:cs="宋体"/>
                <w:kern w:val="0"/>
                <w:sz w:val="21"/>
                <w:szCs w:val="21"/>
                <w:lang w:val="en-US" w:eastAsia="zh-CN" w:bidi="ar"/>
              </w:rPr>
              <w:t>烧碱工段一层应急处理药品未设置专用储存区域，未采取分类存放、防雨防潮、标识清晰的储存措施，存在药品丢失、污染、变质风险，且紧急情况下无法快速取用，可能延误应急处置效率。</w:t>
            </w:r>
          </w:p>
          <w:p w14:paraId="3F0205F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w:t>
            </w:r>
            <w:r>
              <w:rPr>
                <w:rFonts w:hint="default" w:ascii="宋体" w:hAnsi="宋体" w:eastAsia="宋体" w:cs="宋体"/>
                <w:kern w:val="0"/>
                <w:sz w:val="21"/>
                <w:szCs w:val="21"/>
                <w:lang w:val="en-US" w:eastAsia="zh-CN" w:bidi="ar"/>
              </w:rPr>
              <w:t>位号为20-V-1168的旋液分离器上方法兰密封面存在泄漏现象，可能导致设备内介质（结合烧碱工段工况，推测为碱液或工艺流体）渗漏，引发人员化学灼伤、设备腐蚀或环境污染事故。</w:t>
            </w:r>
          </w:p>
          <w:p w14:paraId="6975189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w:t>
            </w:r>
            <w:r>
              <w:rPr>
                <w:rFonts w:hint="default" w:ascii="宋体" w:hAnsi="宋体" w:eastAsia="宋体" w:cs="宋体"/>
                <w:kern w:val="0"/>
                <w:sz w:val="21"/>
                <w:szCs w:val="21"/>
                <w:lang w:val="en-US" w:eastAsia="zh-CN" w:bidi="ar"/>
              </w:rPr>
              <w:t>备品备件库门口区域临时堆放油漆桶，未存入专用危险化学品储存设施，且占用消防通道及疏散通道，油漆属于可燃液体，存在泄漏引发火灾、爆炸的安全风险。</w:t>
            </w:r>
          </w:p>
          <w:p w14:paraId="4ED3198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w:t>
            </w:r>
            <w:r>
              <w:rPr>
                <w:rFonts w:hint="default" w:ascii="宋体" w:hAnsi="宋体" w:eastAsia="宋体" w:cs="宋体"/>
                <w:kern w:val="0"/>
                <w:sz w:val="21"/>
                <w:szCs w:val="21"/>
                <w:lang w:val="en-US" w:eastAsia="zh-CN" w:bidi="ar"/>
              </w:rPr>
              <w:t>空压站区域临时堆放药品。</w:t>
            </w:r>
          </w:p>
          <w:p w14:paraId="3278461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w:t>
            </w:r>
            <w:r>
              <w:rPr>
                <w:rFonts w:hint="default" w:ascii="宋体" w:hAnsi="宋体" w:eastAsia="宋体" w:cs="宋体"/>
                <w:kern w:val="0"/>
                <w:sz w:val="21"/>
                <w:szCs w:val="21"/>
                <w:lang w:val="en-US" w:eastAsia="zh-CN" w:bidi="ar"/>
              </w:rPr>
              <w:t>氯气处理车间浓硫酸计量泵上方仪表指针损坏，导致无法准确监测浓硫酸输送计量数据，可能造成浓硫酸加注过量或不足，引发设备腐蚀、工艺参数失控，甚至导致浓硫酸泄漏引发人员灼伤、环境污染等事故。</w:t>
            </w:r>
          </w:p>
          <w:p w14:paraId="74B2712D">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w:t>
            </w:r>
            <w:r>
              <w:rPr>
                <w:rFonts w:hint="default" w:ascii="宋体" w:hAnsi="宋体" w:eastAsia="宋体" w:cs="宋体"/>
                <w:kern w:val="0"/>
                <w:sz w:val="21"/>
                <w:szCs w:val="21"/>
                <w:lang w:val="en-US" w:eastAsia="zh-CN" w:bidi="ar"/>
              </w:rPr>
              <w:t>氢气处理工段冷凝水排放管道直接接入地沟，未按规范设置冷凝水收集、减压或安全排放设施，冷凝水可能带压排放，存在喷溅导致人员烫伤的风险；若冷凝水含少量氢气，还可能在沟内积聚形成爆炸性混合气体，引发爆炸事故。</w:t>
            </w:r>
          </w:p>
        </w:tc>
      </w:tr>
      <w:tr w14:paraId="058C2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0C37A4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评价项目其他</w:t>
            </w:r>
            <w:bookmarkStart w:id="1" w:name="_GoBack"/>
            <w:bookmarkEnd w:id="1"/>
            <w:r>
              <w:rPr>
                <w:rFonts w:ascii="Times New Roman" w:hAnsi="Times New Roman" w:eastAsia="宋体" w:cs="Times New Roman"/>
                <w:b/>
                <w:szCs w:val="21"/>
              </w:rPr>
              <w:t>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82CFB96">
            <w:pPr>
              <w:bidi w:val="0"/>
              <w:rPr>
                <w:rFonts w:hint="eastAsia"/>
                <w:lang w:val="en-US" w:eastAsia="zh-CN"/>
              </w:rPr>
            </w:pPr>
            <w:r>
              <w:rPr>
                <w:rFonts w:hint="eastAsia"/>
                <w:color w:val="000000" w:themeColor="text1"/>
                <w:vertAlign w:val="baseline"/>
                <w:lang w:val="en-US" w:eastAsia="zh-CN"/>
              </w:rPr>
              <w:drawing>
                <wp:inline distT="0" distB="0" distL="114300" distR="114300">
                  <wp:extent cx="2590165" cy="2229485"/>
                  <wp:effectExtent l="0" t="0" r="635" b="18415"/>
                  <wp:docPr id="213" name="图片 213" descr="1c05f2545aa94c05959908a686cf1c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213" descr="1c05f2545aa94c05959908a686cf1c45"/>
                          <pic:cNvPicPr>
                            <a:picLocks noChangeAspect="1"/>
                          </pic:cNvPicPr>
                        </pic:nvPicPr>
                        <pic:blipFill>
                          <a:blip r:embed="rId4"/>
                          <a:stretch>
                            <a:fillRect/>
                          </a:stretch>
                        </pic:blipFill>
                        <pic:spPr>
                          <a:xfrm>
                            <a:off x="0" y="0"/>
                            <a:ext cx="2590165" cy="2229485"/>
                          </a:xfrm>
                          <a:prstGeom prst="rect">
                            <a:avLst/>
                          </a:prstGeom>
                        </pic:spPr>
                      </pic:pic>
                    </a:graphicData>
                  </a:graphic>
                </wp:inline>
              </w:drawing>
            </w:r>
            <w:r>
              <w:rPr>
                <w:rFonts w:hint="eastAsia"/>
                <w:color w:val="000000" w:themeColor="text1"/>
                <w:vertAlign w:val="baseline"/>
                <w:lang w:val="en-US" w:eastAsia="zh-CN"/>
              </w:rPr>
              <w:drawing>
                <wp:inline distT="0" distB="0" distL="114300" distR="114300">
                  <wp:extent cx="2578100" cy="2251075"/>
                  <wp:effectExtent l="0" t="0" r="12700" b="15875"/>
                  <wp:docPr id="16" name="图片 16" descr="5f0f44f67ac0b4a3e6253d38ecd34e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5f0f44f67ac0b4a3e6253d38ecd34e96"/>
                          <pic:cNvPicPr>
                            <a:picLocks noChangeAspect="1"/>
                          </pic:cNvPicPr>
                        </pic:nvPicPr>
                        <pic:blipFill>
                          <a:blip r:embed="rId5"/>
                          <a:stretch>
                            <a:fillRect/>
                          </a:stretch>
                        </pic:blipFill>
                        <pic:spPr>
                          <a:xfrm>
                            <a:off x="0" y="0"/>
                            <a:ext cx="2578100" cy="2251075"/>
                          </a:xfrm>
                          <a:prstGeom prst="rect">
                            <a:avLst/>
                          </a:prstGeom>
                        </pic:spPr>
                      </pic:pic>
                    </a:graphicData>
                  </a:graphic>
                </wp:inline>
              </w:drawing>
            </w:r>
            <w:r>
              <w:rPr>
                <w:rFonts w:hint="eastAsia"/>
                <w:color w:val="000000" w:themeColor="text1"/>
                <w:vertAlign w:val="baseline"/>
                <w:lang w:val="en-US" w:eastAsia="zh-CN"/>
              </w:rPr>
              <w:drawing>
                <wp:inline distT="0" distB="0" distL="114300" distR="114300">
                  <wp:extent cx="2593340" cy="2501265"/>
                  <wp:effectExtent l="0" t="0" r="16510" b="13335"/>
                  <wp:docPr id="188" name="图片 188" descr="d994332ded79ae4b91d1b53452fad2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88" descr="d994332ded79ae4b91d1b53452fad2ab"/>
                          <pic:cNvPicPr>
                            <a:picLocks noChangeAspect="1"/>
                          </pic:cNvPicPr>
                        </pic:nvPicPr>
                        <pic:blipFill>
                          <a:blip r:embed="rId6"/>
                          <a:stretch>
                            <a:fillRect/>
                          </a:stretch>
                        </pic:blipFill>
                        <pic:spPr>
                          <a:xfrm>
                            <a:off x="0" y="0"/>
                            <a:ext cx="2593340" cy="2501265"/>
                          </a:xfrm>
                          <a:prstGeom prst="rect">
                            <a:avLst/>
                          </a:prstGeom>
                        </pic:spPr>
                      </pic:pic>
                    </a:graphicData>
                  </a:graphic>
                </wp:inline>
              </w:drawing>
            </w:r>
            <w:r>
              <w:rPr>
                <w:rFonts w:hint="eastAsia"/>
                <w:color w:val="000000" w:themeColor="text1"/>
                <w:vertAlign w:val="baseline"/>
                <w:lang w:val="en-US" w:eastAsia="zh-CN"/>
              </w:rPr>
              <w:drawing>
                <wp:inline distT="0" distB="0" distL="114300" distR="114300">
                  <wp:extent cx="2581275" cy="2558415"/>
                  <wp:effectExtent l="0" t="0" r="9525" b="13335"/>
                  <wp:docPr id="189" name="图片 189" descr="c552e42610f37d9b6cc074bd6d70a7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89" descr="c552e42610f37d9b6cc074bd6d70a73b"/>
                          <pic:cNvPicPr>
                            <a:picLocks noChangeAspect="1"/>
                          </pic:cNvPicPr>
                        </pic:nvPicPr>
                        <pic:blipFill>
                          <a:blip r:embed="rId7"/>
                          <a:stretch>
                            <a:fillRect/>
                          </a:stretch>
                        </pic:blipFill>
                        <pic:spPr>
                          <a:xfrm>
                            <a:off x="0" y="0"/>
                            <a:ext cx="2581275" cy="2558415"/>
                          </a:xfrm>
                          <a:prstGeom prst="rect">
                            <a:avLst/>
                          </a:prstGeom>
                        </pic:spPr>
                      </pic:pic>
                    </a:graphicData>
                  </a:graphic>
                </wp:inline>
              </w:drawing>
            </w:r>
            <w:r>
              <w:rPr>
                <w:rFonts w:hint="eastAsia"/>
                <w:color w:val="000000" w:themeColor="text1"/>
                <w:vertAlign w:val="baseline"/>
                <w:lang w:val="en-US" w:eastAsia="zh-CN"/>
              </w:rPr>
              <w:drawing>
                <wp:inline distT="0" distB="0" distL="114300" distR="114300">
                  <wp:extent cx="2575560" cy="2463165"/>
                  <wp:effectExtent l="0" t="0" r="15240" b="13335"/>
                  <wp:docPr id="190" name="图片 190" descr="e565bbf6d83b3003de93732a7c4c89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90" descr="e565bbf6d83b3003de93732a7c4c89ff"/>
                          <pic:cNvPicPr>
                            <a:picLocks noChangeAspect="1"/>
                          </pic:cNvPicPr>
                        </pic:nvPicPr>
                        <pic:blipFill>
                          <a:blip r:embed="rId8"/>
                          <a:stretch>
                            <a:fillRect/>
                          </a:stretch>
                        </pic:blipFill>
                        <pic:spPr>
                          <a:xfrm>
                            <a:off x="0" y="0"/>
                            <a:ext cx="2575560" cy="2463165"/>
                          </a:xfrm>
                          <a:prstGeom prst="rect">
                            <a:avLst/>
                          </a:prstGeom>
                        </pic:spPr>
                      </pic:pic>
                    </a:graphicData>
                  </a:graphic>
                </wp:inline>
              </w:drawing>
            </w:r>
            <w:r>
              <w:rPr>
                <w:rFonts w:hint="eastAsia"/>
                <w:color w:val="000000" w:themeColor="text1"/>
                <w:vertAlign w:val="baseline"/>
                <w:lang w:val="en-US" w:eastAsia="zh-CN"/>
              </w:rPr>
              <w:drawing>
                <wp:inline distT="0" distB="0" distL="114300" distR="114300">
                  <wp:extent cx="2625725" cy="2552700"/>
                  <wp:effectExtent l="0" t="0" r="3175" b="0"/>
                  <wp:docPr id="191" name="图片 191" descr="8450e91ffef5ab8082159797c570b39d"/>
                  <wp:cNvGraphicFramePr/>
                  <a:graphic xmlns:a="http://schemas.openxmlformats.org/drawingml/2006/main">
                    <a:graphicData uri="http://schemas.openxmlformats.org/drawingml/2006/picture">
                      <pic:pic xmlns:pic="http://schemas.openxmlformats.org/drawingml/2006/picture">
                        <pic:nvPicPr>
                          <pic:cNvPr id="191" name="图片 191" descr="8450e91ffef5ab8082159797c570b39d"/>
                          <pic:cNvPicPr/>
                        </pic:nvPicPr>
                        <pic:blipFill>
                          <a:blip r:embed="rId9"/>
                          <a:stretch>
                            <a:fillRect/>
                          </a:stretch>
                        </pic:blipFill>
                        <pic:spPr>
                          <a:xfrm>
                            <a:off x="0" y="0"/>
                            <a:ext cx="2625725" cy="2552700"/>
                          </a:xfrm>
                          <a:prstGeom prst="rect">
                            <a:avLst/>
                          </a:prstGeom>
                        </pic:spPr>
                      </pic:pic>
                    </a:graphicData>
                  </a:graphic>
                </wp:inline>
              </w:drawing>
            </w:r>
          </w:p>
        </w:tc>
      </w:tr>
    </w:tbl>
    <w:p w14:paraId="56F941A3"/>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docVars>
    <w:docVar w:name="commondata" w:val="eyJoZGlkIjoiMmE5MjA2NTc2MmMwNzRhMTQzMTVkYzI3YThmZWIzZTcifQ=="/>
  </w:docVars>
  <w:rsids>
    <w:rsidRoot w:val="00C32FF9"/>
    <w:rsid w:val="00035D91"/>
    <w:rsid w:val="0006644B"/>
    <w:rsid w:val="0007789C"/>
    <w:rsid w:val="0008447B"/>
    <w:rsid w:val="000C019E"/>
    <w:rsid w:val="000F0D1F"/>
    <w:rsid w:val="001A2140"/>
    <w:rsid w:val="00216717"/>
    <w:rsid w:val="002252BB"/>
    <w:rsid w:val="002452E5"/>
    <w:rsid w:val="00260342"/>
    <w:rsid w:val="002836F3"/>
    <w:rsid w:val="003306E1"/>
    <w:rsid w:val="0033323F"/>
    <w:rsid w:val="00333C8D"/>
    <w:rsid w:val="00363F20"/>
    <w:rsid w:val="003A4866"/>
    <w:rsid w:val="003C11AC"/>
    <w:rsid w:val="00441ECF"/>
    <w:rsid w:val="00443F57"/>
    <w:rsid w:val="004552F3"/>
    <w:rsid w:val="00472297"/>
    <w:rsid w:val="004D16FD"/>
    <w:rsid w:val="004E3860"/>
    <w:rsid w:val="00503B5C"/>
    <w:rsid w:val="00511CC8"/>
    <w:rsid w:val="00522843"/>
    <w:rsid w:val="00562DFB"/>
    <w:rsid w:val="005A2343"/>
    <w:rsid w:val="005E7254"/>
    <w:rsid w:val="005E7707"/>
    <w:rsid w:val="005F3542"/>
    <w:rsid w:val="00602EEA"/>
    <w:rsid w:val="00624703"/>
    <w:rsid w:val="0063569B"/>
    <w:rsid w:val="006C336F"/>
    <w:rsid w:val="006F7F1B"/>
    <w:rsid w:val="007057D1"/>
    <w:rsid w:val="007153A0"/>
    <w:rsid w:val="00721B3F"/>
    <w:rsid w:val="0072260B"/>
    <w:rsid w:val="00754407"/>
    <w:rsid w:val="00762B6B"/>
    <w:rsid w:val="007C40AE"/>
    <w:rsid w:val="0082314C"/>
    <w:rsid w:val="00850D90"/>
    <w:rsid w:val="0088430C"/>
    <w:rsid w:val="008A7027"/>
    <w:rsid w:val="008B6E31"/>
    <w:rsid w:val="008D11A5"/>
    <w:rsid w:val="00930DEA"/>
    <w:rsid w:val="009A0DE0"/>
    <w:rsid w:val="009C52DF"/>
    <w:rsid w:val="00A1528C"/>
    <w:rsid w:val="00A84ACB"/>
    <w:rsid w:val="00AA4740"/>
    <w:rsid w:val="00AC1F21"/>
    <w:rsid w:val="00B25996"/>
    <w:rsid w:val="00B269FD"/>
    <w:rsid w:val="00B6707E"/>
    <w:rsid w:val="00B75E9C"/>
    <w:rsid w:val="00BB7406"/>
    <w:rsid w:val="00BF1A1F"/>
    <w:rsid w:val="00BF1DB1"/>
    <w:rsid w:val="00C2459E"/>
    <w:rsid w:val="00C30872"/>
    <w:rsid w:val="00C32FF9"/>
    <w:rsid w:val="00C42AD8"/>
    <w:rsid w:val="00C457EC"/>
    <w:rsid w:val="00C62E8F"/>
    <w:rsid w:val="00CA77FF"/>
    <w:rsid w:val="00CD410D"/>
    <w:rsid w:val="00D255BC"/>
    <w:rsid w:val="00D42EC0"/>
    <w:rsid w:val="00D54E7F"/>
    <w:rsid w:val="00D85DBF"/>
    <w:rsid w:val="00DC2B70"/>
    <w:rsid w:val="00E0518A"/>
    <w:rsid w:val="00E0520C"/>
    <w:rsid w:val="00E13DF9"/>
    <w:rsid w:val="00E579F5"/>
    <w:rsid w:val="00E950D2"/>
    <w:rsid w:val="00EC685F"/>
    <w:rsid w:val="00EC6932"/>
    <w:rsid w:val="00ED2BA2"/>
    <w:rsid w:val="00F11F3B"/>
    <w:rsid w:val="00F30F60"/>
    <w:rsid w:val="00F31BE4"/>
    <w:rsid w:val="00F34C2B"/>
    <w:rsid w:val="00F54203"/>
    <w:rsid w:val="00F57A83"/>
    <w:rsid w:val="00FA03CB"/>
    <w:rsid w:val="00FB5DDF"/>
    <w:rsid w:val="056E6CB9"/>
    <w:rsid w:val="05E42AA5"/>
    <w:rsid w:val="0CC87E5D"/>
    <w:rsid w:val="0E40580F"/>
    <w:rsid w:val="15922A9A"/>
    <w:rsid w:val="1F2C72EF"/>
    <w:rsid w:val="2CD91527"/>
    <w:rsid w:val="36B86C66"/>
    <w:rsid w:val="39481A08"/>
    <w:rsid w:val="3998603B"/>
    <w:rsid w:val="3ED218E0"/>
    <w:rsid w:val="4365014E"/>
    <w:rsid w:val="44BC33A0"/>
    <w:rsid w:val="52EF330B"/>
    <w:rsid w:val="596D5608"/>
    <w:rsid w:val="5CB5012F"/>
    <w:rsid w:val="5D244D87"/>
    <w:rsid w:val="628B181E"/>
    <w:rsid w:val="63CE679E"/>
    <w:rsid w:val="6496505F"/>
    <w:rsid w:val="693C1907"/>
    <w:rsid w:val="6A213294"/>
    <w:rsid w:val="6C3C7313"/>
    <w:rsid w:val="71BE335E"/>
    <w:rsid w:val="76B72399"/>
    <w:rsid w:val="787D00C6"/>
    <w:rsid w:val="78A76481"/>
    <w:rsid w:val="7A794689"/>
    <w:rsid w:val="7ED113B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autoRedefine/>
    <w:qFormat/>
    <w:uiPriority w:val="0"/>
    <w:pPr>
      <w:spacing w:line="560" w:lineRule="exact"/>
    </w:pPr>
    <w:rPr>
      <w:sz w:val="24"/>
      <w:szCs w:val="20"/>
    </w:rPr>
  </w:style>
  <w:style w:type="paragraph" w:styleId="3">
    <w:name w:val="Balloon Text"/>
    <w:basedOn w:val="1"/>
    <w:link w:val="11"/>
    <w:autoRedefine/>
    <w:qFormat/>
    <w:uiPriority w:val="0"/>
    <w:rPr>
      <w:sz w:val="18"/>
      <w:szCs w:val="18"/>
    </w:rPr>
  </w:style>
  <w:style w:type="paragraph" w:styleId="4">
    <w:name w:val="footer"/>
    <w:basedOn w:val="1"/>
    <w:link w:val="10"/>
    <w:autoRedefine/>
    <w:qFormat/>
    <w:uiPriority w:val="0"/>
    <w:pPr>
      <w:tabs>
        <w:tab w:val="center" w:pos="4153"/>
        <w:tab w:val="right" w:pos="8306"/>
      </w:tabs>
      <w:snapToGrid w:val="0"/>
      <w:jc w:val="left"/>
    </w:pPr>
    <w:rPr>
      <w:sz w:val="18"/>
      <w:szCs w:val="18"/>
    </w:rPr>
  </w:style>
  <w:style w:type="paragraph" w:styleId="5">
    <w:name w:val="header"/>
    <w:basedOn w:val="1"/>
    <w:link w:val="9"/>
    <w:autoRedefine/>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0"/>
    <w:pPr>
      <w:widowControl/>
      <w:spacing w:beforeAutospacing="1" w:afterAutospacing="1"/>
      <w:jc w:val="left"/>
    </w:pPr>
    <w:rPr>
      <w:rFonts w:hint="eastAsia" w:ascii="宋体" w:hAnsi="宋体" w:eastAsia="宋体" w:cs="Times New Roman"/>
      <w:kern w:val="0"/>
      <w:sz w:val="24"/>
    </w:rPr>
  </w:style>
  <w:style w:type="character" w:customStyle="1" w:styleId="9">
    <w:name w:val="页眉 Char"/>
    <w:basedOn w:val="8"/>
    <w:link w:val="5"/>
    <w:autoRedefine/>
    <w:qFormat/>
    <w:uiPriority w:val="0"/>
    <w:rPr>
      <w:rFonts w:asciiTheme="minorHAnsi" w:hAnsiTheme="minorHAnsi" w:eastAsiaTheme="minorEastAsia" w:cstheme="minorBidi"/>
      <w:kern w:val="2"/>
      <w:sz w:val="18"/>
      <w:szCs w:val="18"/>
    </w:rPr>
  </w:style>
  <w:style w:type="character" w:customStyle="1" w:styleId="10">
    <w:name w:val="页脚 Char"/>
    <w:basedOn w:val="8"/>
    <w:link w:val="4"/>
    <w:autoRedefine/>
    <w:qFormat/>
    <w:uiPriority w:val="0"/>
    <w:rPr>
      <w:rFonts w:asciiTheme="minorHAnsi" w:hAnsiTheme="minorHAnsi" w:eastAsiaTheme="minorEastAsia" w:cstheme="minorBidi"/>
      <w:kern w:val="2"/>
      <w:sz w:val="18"/>
      <w:szCs w:val="18"/>
    </w:rPr>
  </w:style>
  <w:style w:type="character" w:customStyle="1" w:styleId="11">
    <w:name w:val="批注框文本 Char"/>
    <w:basedOn w:val="8"/>
    <w:link w:val="3"/>
    <w:qFormat/>
    <w:uiPriority w:val="0"/>
    <w:rPr>
      <w:rFonts w:asciiTheme="minorHAnsi" w:hAnsiTheme="minorHAnsi" w:eastAsiaTheme="minorEastAsia" w:cstheme="minorBidi"/>
      <w:kern w:val="2"/>
      <w:sz w:val="18"/>
      <w:szCs w:val="18"/>
    </w:rPr>
  </w:style>
  <w:style w:type="paragraph" w:customStyle="1" w:styleId="12">
    <w:name w:val="工贸一封委托单位名称"/>
    <w:basedOn w:val="1"/>
    <w:qFormat/>
    <w:uiPriority w:val="0"/>
    <w:pPr>
      <w:spacing w:before="600" w:beforeLines="600" w:line="360" w:lineRule="auto"/>
      <w:jc w:val="center"/>
    </w:pPr>
    <w:rPr>
      <w:b/>
      <w:sz w:val="44"/>
    </w:rPr>
  </w:style>
  <w:style w:type="paragraph" w:customStyle="1" w:styleId="13">
    <w:name w:val="最终1 正文-景深安评"/>
    <w:autoRedefine/>
    <w:qFormat/>
    <w:uiPriority w:val="0"/>
    <w:pPr>
      <w:widowControl w:val="0"/>
      <w:spacing w:line="360" w:lineRule="auto"/>
      <w:ind w:firstLine="881" w:firstLineChars="200"/>
      <w:jc w:val="both"/>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3</Pages>
  <Words>1048</Words>
  <Characters>1460</Characters>
  <Lines>6</Lines>
  <Paragraphs>1</Paragraphs>
  <TotalTime>1</TotalTime>
  <ScaleCrop>false</ScaleCrop>
  <LinksUpToDate>false</LinksUpToDate>
  <CharactersWithSpaces>1466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shoona</cp:lastModifiedBy>
  <dcterms:modified xsi:type="dcterms:W3CDTF">2026-07-07T00:28:04Z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E14C5D6276D74CDC9D7EA154BAD57675</vt:lpwstr>
  </property>
  <property fmtid="{D5CDD505-2E9C-101B-9397-08002B2CF9AE}" pid="4" name="KSOTemplateDocerSaveRecord">
    <vt:lpwstr>eyJoZGlkIjoiMmE5MjA2NTc2MmMwNzRhMTQzMTVkYzI3YThmZWIzZTciLCJ1c2VySWQiOiIyNTc3OTY5NiJ9</vt:lpwstr>
  </property>
</Properties>
</file>