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8C6B2E">
      <w:pPr>
        <w:adjustRightInd w:val="0"/>
        <w:snapToGrid w:val="0"/>
        <w:spacing w:line="360" w:lineRule="auto"/>
        <w:jc w:val="center"/>
        <w:rPr>
          <w:rFonts w:ascii="方正小标宋_GBK" w:hAnsi="宋体" w:eastAsia="方正小标宋_GBK" w:cs="方正小标宋_GBK"/>
          <w:b/>
          <w:color w:val="auto"/>
          <w:sz w:val="44"/>
          <w:szCs w:val="44"/>
        </w:rPr>
      </w:pPr>
      <w:r>
        <w:rPr>
          <w:rFonts w:hint="eastAsia" w:ascii="方正小标宋_GBK" w:hAnsi="宋体" w:eastAsia="方正小标宋_GBK" w:cs="方正小标宋_GBK"/>
          <w:b/>
          <w:color w:val="auto"/>
          <w:sz w:val="44"/>
          <w:szCs w:val="44"/>
        </w:rPr>
        <w:t>安全评价报告信息公布表</w:t>
      </w:r>
    </w:p>
    <w:tbl>
      <w:tblPr>
        <w:tblStyle w:val="8"/>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0F7C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C84E888">
            <w:pPr>
              <w:adjustRightInd w:val="0"/>
              <w:snapToGrid w:val="0"/>
              <w:jc w:val="center"/>
              <w:rPr>
                <w:rFonts w:ascii="Times New Roman" w:hAnsi="Times New Roman" w:eastAsia="宋体" w:cs="Times New Roman"/>
                <w:b/>
                <w:color w:val="auto"/>
                <w:szCs w:val="21"/>
              </w:rPr>
            </w:pPr>
            <w:r>
              <w:rPr>
                <w:rFonts w:ascii="Times New Roman" w:hAnsi="Times New Roman" w:cs="Times New Roman"/>
                <w:b/>
                <w:color w:val="auto"/>
                <w:szCs w:val="21"/>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FA43318">
            <w:pPr>
              <w:adjustRightInd w:val="0"/>
              <w:snapToGrid w:val="0"/>
              <w:jc w:val="center"/>
              <w:rPr>
                <w:rFonts w:ascii="Times New Roman" w:hAnsi="Times New Roman" w:eastAsia="宋体" w:cs="Times New Roman"/>
                <w:color w:val="auto"/>
                <w:szCs w:val="21"/>
              </w:rPr>
            </w:pPr>
            <w:r>
              <w:rPr>
                <w:rFonts w:ascii="Times New Roman" w:hAnsi="Times New Roman" w:cs="Times New Roman"/>
                <w:color w:val="auto"/>
                <w:szCs w:val="21"/>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51D17855">
            <w:pPr>
              <w:adjustRightInd w:val="0"/>
              <w:snapToGrid w:val="0"/>
              <w:jc w:val="center"/>
              <w:rPr>
                <w:rFonts w:ascii="Times New Roman" w:hAnsi="Times New Roman" w:eastAsia="宋体" w:cs="Times New Roman"/>
                <w:b/>
                <w:color w:val="auto"/>
                <w:szCs w:val="21"/>
              </w:rPr>
            </w:pPr>
            <w:r>
              <w:rPr>
                <w:rFonts w:ascii="Times New Roman" w:hAnsi="Times New Roman" w:cs="Times New Roman"/>
                <w:b/>
                <w:color w:val="auto"/>
                <w:szCs w:val="21"/>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09B7CCE">
            <w:pPr>
              <w:adjustRightInd w:val="0"/>
              <w:snapToGrid w:val="0"/>
              <w:jc w:val="center"/>
              <w:rPr>
                <w:rFonts w:hint="default" w:ascii="Times New Roman" w:hAnsi="Times New Roman" w:cs="Times New Roman" w:eastAsiaTheme="minorEastAsia"/>
                <w:b/>
                <w:color w:val="auto"/>
                <w:szCs w:val="21"/>
                <w:lang w:val="en-US" w:eastAsia="zh-CN"/>
              </w:rPr>
            </w:pPr>
            <w:r>
              <w:rPr>
                <w:rFonts w:ascii="Times New Roman" w:hAnsi="Times New Roman" w:cs="Times New Roman"/>
                <w:color w:val="auto"/>
                <w:szCs w:val="21"/>
              </w:rPr>
              <w:t>APJ-（鄂）-</w:t>
            </w:r>
            <w:r>
              <w:rPr>
                <w:rFonts w:hint="eastAsia" w:ascii="Times New Roman" w:hAnsi="Times New Roman" w:cs="Times New Roman"/>
                <w:color w:val="auto"/>
                <w:szCs w:val="21"/>
                <w:lang w:val="en-US" w:eastAsia="zh-CN"/>
              </w:rPr>
              <w:t>002</w:t>
            </w:r>
          </w:p>
        </w:tc>
      </w:tr>
      <w:tr w14:paraId="1101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AD974C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479CA43D">
            <w:pPr>
              <w:adjustRightInd w:val="0"/>
              <w:snapToGrid w:val="0"/>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宜都市多邦化工有限公司</w:t>
            </w:r>
          </w:p>
        </w:tc>
      </w:tr>
      <w:tr w14:paraId="19465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AED9B6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1DBD40A">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年产5万吨新型水溶肥、5万吨生物有机专用肥和3万吨醇基燃料项目安全验收评价报告</w:t>
            </w:r>
          </w:p>
        </w:tc>
      </w:tr>
      <w:tr w14:paraId="25DBB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D5517DC">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FCA49BF">
            <w:pPr>
              <w:adjustRightInd w:val="0"/>
              <w:snapToGrid w:val="0"/>
              <w:jc w:val="center"/>
              <w:rPr>
                <w:rFonts w:hint="default" w:ascii="Times New Roman" w:hAnsi="Times New Roman" w:eastAsia="宋体" w:cs="Times New Roman"/>
                <w:color w:val="auto"/>
                <w:szCs w:val="21"/>
                <w:lang w:val="en-US"/>
              </w:rPr>
            </w:pPr>
            <w:r>
              <w:rPr>
                <w:rFonts w:hint="eastAsia" w:ascii="Times New Roman" w:hAnsi="Times New Roman" w:eastAsia="宋体" w:cs="Times New Roman"/>
                <w:color w:val="auto"/>
                <w:szCs w:val="21"/>
                <w:lang w:val="en-US" w:eastAsia="zh-CN"/>
              </w:rPr>
              <w:t>石油加工业，化学原料、化学品及医药制造业</w:t>
            </w:r>
          </w:p>
        </w:tc>
      </w:tr>
      <w:tr w14:paraId="2D87A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61CBD1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安全评价过程控制情况</w:t>
            </w:r>
          </w:p>
        </w:tc>
      </w:tr>
      <w:tr w14:paraId="46D5B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7E9CB8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w:t>
            </w:r>
          </w:p>
          <w:p w14:paraId="2B54C41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492B3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7DE04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B15A6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过程控制负责人</w:t>
            </w:r>
          </w:p>
        </w:tc>
      </w:tr>
      <w:tr w14:paraId="74073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CF4A56">
            <w:pPr>
              <w:rPr>
                <w:rFonts w:ascii="Times New Roman" w:hAnsi="Times New Roman" w:eastAsia="宋体" w:cs="Times New Roman"/>
                <w:color w:val="auto"/>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915A1D">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DCD72CB">
            <w:pPr>
              <w:adjustRightInd w:val="0"/>
              <w:snapToGrid w:val="0"/>
              <w:jc w:val="center"/>
              <w:rPr>
                <w:rFonts w:hint="eastAsia" w:ascii="Times New Roman" w:hAnsi="Times New Roman" w:eastAsia="宋体" w:cs="Times New Roman"/>
                <w:color w:val="auto"/>
                <w:szCs w:val="21"/>
                <w:lang w:eastAsia="zh-CN"/>
              </w:rPr>
            </w:pPr>
            <w:r>
              <w:rPr>
                <w:rFonts w:hint="eastAsia" w:eastAsia="宋体"/>
                <w:color w:val="auto"/>
                <w:szCs w:val="28"/>
                <w:lang w:val="en-US" w:eastAsia="zh-CN"/>
              </w:rPr>
              <w:t>王冬梅</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E8A2D38">
            <w:pPr>
              <w:adjustRightInd w:val="0"/>
              <w:snapToGrid w:val="0"/>
              <w:jc w:val="center"/>
              <w:rPr>
                <w:rFonts w:hint="default" w:ascii="Times New Roman" w:hAnsi="Times New Roman" w:eastAsia="宋体" w:cs="Times New Roman"/>
                <w:color w:val="auto"/>
                <w:szCs w:val="21"/>
                <w:lang w:val="en-US" w:eastAsia="zh-CN"/>
              </w:rPr>
            </w:pPr>
            <w:r>
              <w:rPr>
                <w:rFonts w:hint="eastAsia" w:eastAsia="宋体"/>
                <w:color w:val="auto"/>
                <w:szCs w:val="28"/>
                <w:lang w:val="en-US" w:eastAsia="zh-CN"/>
              </w:rPr>
              <w:t>余海波</w:t>
            </w:r>
          </w:p>
        </w:tc>
      </w:tr>
      <w:tr w14:paraId="5243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DE681E2">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编制</w:t>
            </w:r>
          </w:p>
          <w:p w14:paraId="19C91F3A">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6E2D9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21361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93B1E3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BF9833A">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报告审批人</w:t>
            </w:r>
          </w:p>
        </w:tc>
      </w:tr>
      <w:tr w14:paraId="0FDC8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3B4EA0">
            <w:pPr>
              <w:rPr>
                <w:rFonts w:ascii="Times New Roman" w:hAnsi="Times New Roman" w:eastAsia="宋体" w:cs="Times New Roman"/>
                <w:color w:val="auto"/>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BBCFF18">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8"/>
                <w:lang w:val="en-US" w:eastAsia="zh-CN"/>
              </w:rPr>
              <w:t>鲁小芳、夏鹏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C23B86">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highlight w:val="none"/>
              </w:rPr>
              <w:t>20</w:t>
            </w:r>
            <w:r>
              <w:rPr>
                <w:rFonts w:hint="eastAsia" w:ascii="Times New Roman" w:hAnsi="Times New Roman" w:eastAsia="宋体" w:cs="Times New Roman"/>
                <w:color w:val="auto"/>
                <w:szCs w:val="21"/>
                <w:highlight w:val="none"/>
                <w:lang w:val="en-US" w:eastAsia="zh-CN"/>
              </w:rPr>
              <w:t>26.4.28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0375403B">
            <w:pPr>
              <w:adjustRightInd w:val="0"/>
              <w:snapToGrid w:val="0"/>
              <w:jc w:val="center"/>
              <w:rPr>
                <w:rFonts w:hint="default" w:eastAsiaTheme="minorEastAsia"/>
                <w:color w:val="auto"/>
                <w:szCs w:val="28"/>
                <w:lang w:val="en-US" w:eastAsia="zh-CN"/>
              </w:rPr>
            </w:pPr>
            <w:r>
              <w:rPr>
                <w:rFonts w:hint="eastAsia"/>
                <w:color w:val="auto"/>
                <w:szCs w:val="28"/>
                <w:lang w:val="en-US" w:eastAsia="zh-CN"/>
              </w:rPr>
              <w:t>周智鑫</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F316E3B">
            <w:pPr>
              <w:adjustRightInd w:val="0"/>
              <w:snapToGrid w:val="0"/>
              <w:jc w:val="center"/>
              <w:rPr>
                <w:rFonts w:hint="eastAsia" w:eastAsiaTheme="minorEastAsia"/>
                <w:color w:val="auto"/>
                <w:szCs w:val="28"/>
                <w:lang w:eastAsia="zh-CN"/>
              </w:rPr>
            </w:pPr>
            <w:r>
              <w:rPr>
                <w:rFonts w:hint="eastAsia" w:eastAsia="宋体"/>
                <w:color w:val="auto"/>
                <w:szCs w:val="28"/>
                <w:lang w:val="en-US" w:eastAsia="zh-CN"/>
              </w:rPr>
              <w:t>王冬梅</w:t>
            </w:r>
          </w:p>
        </w:tc>
      </w:tr>
      <w:tr w14:paraId="15D8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55A6FB9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w:t>
            </w:r>
          </w:p>
          <w:p w14:paraId="7D382DBA">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w:t>
            </w:r>
          </w:p>
          <w:p w14:paraId="0BEC7999">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w:t>
            </w:r>
          </w:p>
          <w:p w14:paraId="23D25A2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参与</w:t>
            </w:r>
          </w:p>
          <w:p w14:paraId="1AC8F70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5ED544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21724E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D1DE01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安全评价师从业识别卡/</w:t>
            </w:r>
          </w:p>
          <w:p w14:paraId="4E0BD6C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CAD3D60">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22A124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是否专职</w:t>
            </w:r>
          </w:p>
        </w:tc>
      </w:tr>
      <w:tr w14:paraId="4CEFE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A9B2A98">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3876CFC">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叶朦</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5ED4149">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化工</w:t>
            </w:r>
            <w:r>
              <w:rPr>
                <w:rFonts w:hint="eastAsia" w:ascii="Times New Roman" w:hAnsi="Times New Roman" w:cs="Times New Roman"/>
                <w:color w:val="auto"/>
                <w:szCs w:val="28"/>
                <w:highlight w:val="none"/>
                <w:lang w:val="en-US" w:eastAsia="zh-CN"/>
              </w:rPr>
              <w:t>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C7FBC6">
            <w:pPr>
              <w:jc w:val="center"/>
              <w:rPr>
                <w:rFonts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039947/S011032000110203000729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381FDA">
            <w:pPr>
              <w:adjustRightInd w:val="0"/>
              <w:snapToGrid w:val="0"/>
              <w:jc w:val="center"/>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szCs w:val="21"/>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DCE2C75">
            <w:pPr>
              <w:jc w:val="center"/>
              <w:rPr>
                <w:rFonts w:ascii="Times New Roman" w:hAnsi="Times New Roman" w:cs="Times New Roman" w:eastAsiaTheme="minorEastAsia"/>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61E2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D233D16">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67AA02A">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王冬梅</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D6A6FAC">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614FB4">
            <w:pPr>
              <w:jc w:val="center"/>
              <w:rPr>
                <w:rFonts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03094</w:t>
            </w:r>
            <w:r>
              <w:rPr>
                <w:rFonts w:hint="eastAsia" w:ascii="Times New Roman" w:hAnsi="Times New Roman" w:cs="Times New Roman"/>
                <w:color w:val="auto"/>
                <w:szCs w:val="28"/>
                <w:highlight w:val="none"/>
                <w:lang w:val="en-US" w:eastAsia="zh-CN"/>
              </w:rPr>
              <w:t>2</w:t>
            </w:r>
            <w:r>
              <w:rPr>
                <w:rFonts w:hint="eastAsia" w:ascii="Times New Roman" w:hAnsi="Times New Roman" w:cs="Times New Roman"/>
                <w:color w:val="auto"/>
                <w:szCs w:val="28"/>
                <w:highlight w:val="none"/>
              </w:rPr>
              <w:t>/S011032000110191000567</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E6E7FEC">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cs="Times New Roman"/>
                <w:color w:val="auto"/>
                <w:szCs w:val="28"/>
                <w:highlight w:val="none"/>
                <w:lang w:val="en-US" w:eastAsia="zh-CN"/>
              </w:rPr>
              <w:t>42180175741</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59DF008">
            <w:pPr>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7A9C1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4446CA7">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74C9D6E">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A8FBE75">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AA8F4A">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C21119F">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ABC74C8">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专职</w:t>
            </w:r>
          </w:p>
        </w:tc>
      </w:tr>
      <w:tr w14:paraId="3D33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8C4CA49">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424A897">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夏鹏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67F54B4">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F3B254A">
            <w:pPr>
              <w:jc w:val="center"/>
              <w:rPr>
                <w:rFonts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22D0ACC">
            <w:pPr>
              <w:jc w:val="center"/>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szCs w:val="21"/>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DECD6D5">
            <w:pPr>
              <w:jc w:val="center"/>
              <w:rPr>
                <w:rFonts w:ascii="Times New Roman" w:hAnsi="Times New Roman" w:cs="Times New Roman" w:eastAsiaTheme="minorEastAsia"/>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12696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2F6C8CA">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803B86D">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65E9EF32">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eastAsia="zh-CN"/>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91ADBB3">
            <w:pPr>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012346/0800000000207709</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E655F2A">
            <w:pPr>
              <w:jc w:val="center"/>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szCs w:val="21"/>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CAF5244">
            <w:pPr>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7A9C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5D7527D">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B5C43B5">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661E04E">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D929769">
            <w:pPr>
              <w:jc w:val="center"/>
              <w:rPr>
                <w:rFonts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69D9DC1A">
            <w:pPr>
              <w:jc w:val="center"/>
              <w:rPr>
                <w:rFonts w:ascii="Times New Roman" w:hAnsi="Times New Roman" w:eastAsia="宋体" w:cs="Times New Roman"/>
                <w:b/>
                <w:color w:val="auto"/>
                <w:kern w:val="2"/>
                <w:sz w:val="21"/>
                <w:szCs w:val="21"/>
                <w:highlight w:val="none"/>
                <w:lang w:val="en-US" w:eastAsia="zh-CN" w:bidi="ar-SA"/>
              </w:rPr>
            </w:pPr>
            <w:r>
              <w:rPr>
                <w:rFonts w:hint="eastAsia" w:ascii="Times New Roman" w:hAnsi="Times New Roman" w:cs="Times New Roman"/>
                <w:color w:val="auto"/>
                <w:szCs w:val="28"/>
                <w:highlight w:val="none"/>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75B2D843">
            <w:pPr>
              <w:jc w:val="center"/>
              <w:rPr>
                <w:rFonts w:ascii="Times New Roman" w:hAnsi="Times New Roman" w:cs="Times New Roman" w:eastAsiaTheme="minorEastAsia"/>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4306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EAA71A9">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F225C7C">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丁鹏程</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42C89D6">
            <w:pPr>
              <w:jc w:val="center"/>
              <w:rPr>
                <w:rFonts w:hint="default"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ED5EB7">
            <w:pPr>
              <w:jc w:val="center"/>
              <w:rPr>
                <w:rFonts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039995</w:t>
            </w:r>
            <w:r>
              <w:rPr>
                <w:rFonts w:ascii="Times New Roman" w:hAnsi="Times New Roman" w:cs="Times New Roman"/>
                <w:color w:val="auto"/>
                <w:szCs w:val="28"/>
                <w:highlight w:val="none"/>
              </w:rPr>
              <w:t>/</w:t>
            </w:r>
            <w:r>
              <w:rPr>
                <w:rFonts w:hint="eastAsia" w:ascii="Times New Roman" w:hAnsi="Times New Roman" w:cs="Times New Roman"/>
                <w:color w:val="auto"/>
                <w:szCs w:val="28"/>
                <w:highlight w:val="none"/>
              </w:rPr>
              <w:t>S011032000110203000932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28FE5AD">
            <w:pPr>
              <w:keepNext w:val="0"/>
              <w:keepLines w:val="0"/>
              <w:widowControl/>
              <w:suppressLineNumbers w:val="0"/>
              <w:jc w:val="center"/>
              <w:textAlignment w:val="center"/>
              <w:rPr>
                <w:rFonts w:hint="eastAsia" w:ascii="宋体" w:hAnsi="宋体" w:eastAsia="宋体" w:cs="宋体"/>
                <w:i w:val="0"/>
                <w:iCs w:val="0"/>
                <w:color w:val="auto"/>
                <w:kern w:val="2"/>
                <w:sz w:val="22"/>
                <w:szCs w:val="22"/>
                <w:highlight w:val="none"/>
                <w:u w:val="none"/>
                <w:lang w:val="en-US" w:eastAsia="zh-CN" w:bidi="ar-SA"/>
              </w:rPr>
            </w:pPr>
            <w:r>
              <w:rPr>
                <w:rFonts w:ascii="Times New Roman" w:hAnsi="Times New Roman" w:eastAsia="宋体" w:cs="Times New Roman"/>
                <w:b/>
                <w:color w:val="auto"/>
                <w:szCs w:val="21"/>
                <w:highlight w:val="none"/>
              </w:rPr>
              <w:t>/</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3932908">
            <w:pPr>
              <w:jc w:val="center"/>
              <w:rPr>
                <w:rFonts w:ascii="Times New Roman" w:hAnsi="Times New Roman" w:cs="Times New Roman" w:eastAsiaTheme="minorEastAsia"/>
                <w:color w:val="auto"/>
                <w:kern w:val="2"/>
                <w:sz w:val="21"/>
                <w:szCs w:val="21"/>
                <w:highlight w:val="none"/>
                <w:lang w:val="en-US" w:eastAsia="zh-CN" w:bidi="ar-SA"/>
              </w:rPr>
            </w:pPr>
            <w:r>
              <w:rPr>
                <w:rFonts w:ascii="Times New Roman" w:hAnsi="Times New Roman" w:eastAsia="宋体" w:cs="Times New Roman"/>
                <w:color w:val="auto"/>
                <w:szCs w:val="21"/>
                <w:highlight w:val="none"/>
              </w:rPr>
              <w:t>专职</w:t>
            </w:r>
          </w:p>
        </w:tc>
      </w:tr>
      <w:tr w14:paraId="1BAE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3FF19D5">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F621D00">
            <w:pPr>
              <w:jc w:val="center"/>
              <w:rPr>
                <w:rFonts w:hint="eastAsia" w:ascii="Times New Roman" w:hAnsi="Times New Roman" w:cs="Times New Roman" w:eastAsiaTheme="minorEastAsia"/>
                <w:color w:val="auto"/>
                <w:szCs w:val="21"/>
                <w:highlight w:val="none"/>
                <w:lang w:eastAsia="zh-CN"/>
              </w:rPr>
            </w:pPr>
            <w:r>
              <w:rPr>
                <w:rFonts w:hint="eastAsia" w:ascii="Times New Roman" w:hAnsi="Times New Roman" w:cs="Times New Roman"/>
                <w:color w:val="auto"/>
                <w:highlight w:val="none"/>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7EA3AF0">
            <w:pPr>
              <w:jc w:val="center"/>
              <w:rPr>
                <w:rFonts w:hint="default" w:ascii="Times New Roman" w:hAnsi="Times New Roman" w:cs="Times New Roman" w:eastAsiaTheme="minorEastAsia"/>
                <w:color w:val="auto"/>
                <w:szCs w:val="21"/>
                <w:highlight w:val="none"/>
                <w:lang w:val="en-US" w:eastAsia="zh-CN"/>
              </w:rPr>
            </w:pPr>
            <w:r>
              <w:rPr>
                <w:rFonts w:hint="eastAsia" w:ascii="Times New Roman" w:hAnsi="Times New Roman" w:cs="Times New Roman"/>
                <w:color w:val="auto"/>
                <w:highlight w:val="none"/>
                <w:lang w:val="en-US" w:eastAsia="zh-CN"/>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DD666E5">
            <w:pPr>
              <w:jc w:val="center"/>
              <w:rPr>
                <w:rFonts w:hint="eastAsia" w:ascii="Times New Roman" w:hAnsi="Times New Roman" w:cs="Times New Roman" w:eastAsiaTheme="minorEastAsia"/>
                <w:color w:val="auto"/>
                <w:szCs w:val="21"/>
                <w:highlight w:val="none"/>
                <w:lang w:val="en-US" w:eastAsia="zh-CN"/>
              </w:rPr>
            </w:pPr>
            <w:r>
              <w:rPr>
                <w:rFonts w:hint="eastAsia" w:ascii="Times New Roman" w:hAnsi="Times New Roman" w:cs="Times New Roman"/>
                <w:color w:val="auto"/>
                <w:highlight w:val="none"/>
              </w:rPr>
              <w:t>035981</w:t>
            </w:r>
            <w:r>
              <w:rPr>
                <w:rFonts w:hint="eastAsia" w:ascii="Times New Roman" w:hAnsi="Times New Roman" w:cs="Times New Roman"/>
                <w:color w:val="auto"/>
                <w:highlight w:val="none"/>
                <w:lang w:val="en-US" w:eastAsia="zh-CN"/>
              </w:rPr>
              <w:t>/</w:t>
            </w:r>
            <w:r>
              <w:rPr>
                <w:rFonts w:hint="eastAsia" w:ascii="Times New Roman" w:hAnsi="Times New Roman" w:cs="Times New Roman"/>
                <w:color w:val="auto"/>
                <w:highlight w:val="none"/>
              </w:rPr>
              <w:t>S011032000110192001402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F20767D">
            <w:pPr>
              <w:jc w:val="center"/>
              <w:rPr>
                <w:rFonts w:hint="eastAsia" w:ascii="宋体" w:hAnsi="宋体" w:eastAsia="宋体" w:cs="宋体"/>
                <w:i w:val="0"/>
                <w:iCs w:val="0"/>
                <w:color w:val="auto"/>
                <w:kern w:val="2"/>
                <w:sz w:val="22"/>
                <w:szCs w:val="22"/>
                <w:highlight w:val="none"/>
                <w:u w:val="none"/>
                <w:lang w:val="en-US" w:eastAsia="zh-CN" w:bidi="ar-SA"/>
              </w:rPr>
            </w:pPr>
            <w:r>
              <w:rPr>
                <w:rFonts w:hint="eastAsia" w:ascii="Times New Roman" w:hAnsi="Times New Roman" w:cs="Times New Roman"/>
                <w:color w:val="auto"/>
                <w:szCs w:val="28"/>
                <w:highlight w:val="none"/>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D0F3824">
            <w:pPr>
              <w:jc w:val="center"/>
              <w:rPr>
                <w:rFonts w:ascii="Times New Roman" w:hAnsi="Times New Roman" w:cs="Times New Roman" w:eastAsiaTheme="minorEastAsia"/>
                <w:color w:val="auto"/>
                <w:kern w:val="2"/>
                <w:sz w:val="21"/>
                <w:szCs w:val="21"/>
                <w:highlight w:val="none"/>
                <w:lang w:val="en-US" w:eastAsia="zh-CN" w:bidi="ar-SA"/>
              </w:rPr>
            </w:pPr>
            <w:r>
              <w:rPr>
                <w:rFonts w:hint="eastAsia" w:ascii="Times New Roman" w:hAnsi="Times New Roman" w:cs="Times New Roman"/>
                <w:color w:val="auto"/>
                <w:szCs w:val="28"/>
                <w:highlight w:val="none"/>
              </w:rPr>
              <w:t>专职</w:t>
            </w:r>
          </w:p>
        </w:tc>
      </w:tr>
      <w:tr w14:paraId="45DBF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1C19EC2">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53CC5A20">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093CFE3">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29EED63">
            <w:pPr>
              <w:jc w:val="center"/>
              <w:rPr>
                <w:rFonts w:hint="eastAsia" w:ascii="Times New Roman" w:hAnsi="Times New Roman" w:cs="Times New Roman" w:eastAsiaTheme="minorEastAsia"/>
                <w:color w:val="auto"/>
                <w:kern w:val="2"/>
                <w:sz w:val="21"/>
                <w:szCs w:val="24"/>
                <w:highlight w:val="none"/>
                <w:lang w:val="en-US" w:eastAsia="zh-CN" w:bidi="ar-SA"/>
              </w:rPr>
            </w:pPr>
            <w:r>
              <w:rPr>
                <w:rFonts w:ascii="Times New Roman" w:hAnsi="Times New Roman" w:cs="Times New Roman"/>
                <w:color w:val="auto"/>
                <w:highlight w:val="none"/>
              </w:rPr>
              <w:t>0</w:t>
            </w:r>
            <w:r>
              <w:rPr>
                <w:rFonts w:hint="eastAsia" w:ascii="Times New Roman" w:hAnsi="Times New Roman" w:cs="Times New Roman"/>
                <w:color w:val="auto"/>
                <w:highlight w:val="none"/>
                <w:lang w:val="en-US" w:eastAsia="zh-CN"/>
              </w:rPr>
              <w:t>36169/</w:t>
            </w:r>
            <w:r>
              <w:rPr>
                <w:rFonts w:hint="eastAsia" w:ascii="Times New Roman" w:hAnsi="Times New Roman" w:cs="Times New Roman"/>
                <w:color w:val="auto"/>
                <w:highlight w:val="none"/>
              </w:rPr>
              <w:t>S011032000110193001025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1F4858A">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07CA8AD">
            <w:pPr>
              <w:jc w:val="center"/>
              <w:rPr>
                <w:rFonts w:hint="eastAsia" w:ascii="Times New Roman" w:hAnsi="Times New Roman" w:cs="Times New Roman" w:eastAsiaTheme="minorEastAsia"/>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专职</w:t>
            </w:r>
          </w:p>
        </w:tc>
      </w:tr>
      <w:tr w14:paraId="5DEA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E1CC55C">
            <w:pPr>
              <w:rPr>
                <w:rFonts w:ascii="Times New Roman" w:hAnsi="Times New Roman" w:eastAsia="宋体" w:cs="Times New Roman"/>
                <w:color w:val="auto"/>
                <w:szCs w:val="22"/>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EA91305">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lang w:val="en-US" w:eastAsia="zh-CN"/>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271B3576">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化工</w:t>
            </w:r>
            <w:r>
              <w:rPr>
                <w:rFonts w:hint="eastAsia" w:ascii="Times New Roman" w:hAnsi="Times New Roman" w:cs="Times New Roman"/>
                <w:color w:val="auto"/>
                <w:szCs w:val="28"/>
                <w:highlight w:val="none"/>
                <w:lang w:val="en-US" w:eastAsia="zh-CN"/>
              </w:rPr>
              <w:t>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B13A71">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B51C24D">
            <w:pPr>
              <w:adjustRightInd w:val="0"/>
              <w:snapToGrid w:val="0"/>
              <w:jc w:val="center"/>
              <w:rPr>
                <w:rFonts w:hint="eastAsia" w:ascii="Times New Roman" w:hAnsi="Times New Roman" w:eastAsia="宋体" w:cs="Times New Roman"/>
                <w:b/>
                <w:color w:val="auto"/>
                <w:kern w:val="2"/>
                <w:sz w:val="21"/>
                <w:szCs w:val="21"/>
                <w:highlight w:val="none"/>
                <w:lang w:val="en-US" w:eastAsia="zh-CN" w:bidi="ar-SA"/>
              </w:rPr>
            </w:pPr>
            <w:r>
              <w:rPr>
                <w:rFonts w:hint="eastAsia" w:ascii="Times New Roman" w:hAnsi="Times New Roman" w:eastAsia="宋体" w:cs="Times New Roman"/>
                <w:b w:val="0"/>
                <w:bCs/>
                <w:color w:val="auto"/>
                <w:szCs w:val="21"/>
                <w:highlight w:val="none"/>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63AFB3D">
            <w:pPr>
              <w:jc w:val="center"/>
              <w:rPr>
                <w:rFonts w:hint="eastAsia" w:ascii="Times New Roman" w:hAnsi="Times New Roman" w:cs="Times New Roman" w:eastAsiaTheme="minorEastAsia"/>
                <w:color w:val="auto"/>
                <w:kern w:val="2"/>
                <w:sz w:val="21"/>
                <w:szCs w:val="28"/>
                <w:highlight w:val="none"/>
                <w:lang w:val="en-US" w:eastAsia="zh-CN" w:bidi="ar-SA"/>
              </w:rPr>
            </w:pPr>
            <w:r>
              <w:rPr>
                <w:rFonts w:hint="eastAsia" w:ascii="Times New Roman" w:hAnsi="Times New Roman" w:cs="Times New Roman"/>
                <w:color w:val="auto"/>
                <w:szCs w:val="28"/>
                <w:highlight w:val="none"/>
              </w:rPr>
              <w:t>专职</w:t>
            </w:r>
          </w:p>
        </w:tc>
      </w:tr>
      <w:tr w14:paraId="12EC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6F532C51">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项目简介</w:t>
            </w:r>
          </w:p>
        </w:tc>
      </w:tr>
      <w:tr w14:paraId="7EEE3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9968FA5">
            <w:pPr>
              <w:adjustRightInd w:val="0"/>
              <w:snapToGrid w:val="0"/>
              <w:ind w:firstLine="480" w:firstLineChars="200"/>
              <w:jc w:val="left"/>
              <w:rPr>
                <w:rFonts w:ascii="Times New Roman" w:hAnsi="Times New Roman" w:cs="Times New Roman"/>
                <w:color w:val="auto"/>
                <w:szCs w:val="28"/>
              </w:rPr>
            </w:pPr>
            <w:r>
              <w:rPr>
                <w:rFonts w:hint="eastAsia"/>
                <w:color w:val="auto"/>
                <w:sz w:val="24"/>
                <w:lang w:eastAsia="zh-CN"/>
              </w:rPr>
              <w:t>宜都市多邦化工有限公司年产5万吨新型水溶肥、5万吨生物有机专用肥和3万吨醇基燃料项目具体包含年产5万吨新型水溶肥生产装置、5万吨生物有机专用肥生产装置和3万吨醇基燃料生产装置及其公用配套设施。</w:t>
            </w:r>
          </w:p>
        </w:tc>
      </w:tr>
      <w:tr w14:paraId="2325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7AAE6008">
            <w:pPr>
              <w:pStyle w:val="7"/>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19BF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9AAC17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809194A">
            <w:pPr>
              <w:adjustRightInd w:val="0"/>
              <w:snapToGrid w:val="0"/>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 w:val="24"/>
                <w:lang w:val="en-US" w:eastAsia="zh-CN"/>
              </w:rPr>
              <w:t>夏鹏</w:t>
            </w:r>
            <w:r>
              <w:rPr>
                <w:rFonts w:hint="eastAsia" w:ascii="Times New Roman" w:hAnsi="Times New Roman" w:cs="Times New Roman"/>
                <w:color w:val="auto"/>
                <w:sz w:val="24"/>
              </w:rPr>
              <w:t>、</w:t>
            </w:r>
            <w:r>
              <w:rPr>
                <w:rFonts w:hint="eastAsia" w:ascii="Times New Roman" w:hAnsi="Times New Roman" w:cs="Times New Roman"/>
                <w:color w:val="auto"/>
                <w:sz w:val="24"/>
                <w:lang w:val="en-US" w:eastAsia="zh-CN"/>
              </w:rPr>
              <w:t>谭辉</w:t>
            </w:r>
          </w:p>
        </w:tc>
      </w:tr>
      <w:tr w14:paraId="3843A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E88573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3097035">
            <w:pPr>
              <w:adjustRightInd w:val="0"/>
              <w:snapToGrid w:val="0"/>
              <w:jc w:val="center"/>
              <w:rPr>
                <w:rFonts w:hint="default" w:ascii="Times New Roman" w:hAnsi="Times New Roman" w:eastAsia="宋体" w:cs="Times New Roman"/>
                <w:color w:val="auto"/>
                <w:szCs w:val="21"/>
                <w:lang w:val="en-US" w:eastAsia="zh-CN"/>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25</w:t>
            </w:r>
            <w:r>
              <w:rPr>
                <w:rFonts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8</w:t>
            </w:r>
            <w:r>
              <w:rPr>
                <w:rFonts w:hint="eastAsia" w:ascii="Times New Roman" w:hAnsi="Times New Roman" w:eastAsia="宋体" w:cs="Times New Roman"/>
                <w:color w:val="auto"/>
                <w:szCs w:val="21"/>
              </w:rPr>
              <w:t>.</w:t>
            </w:r>
            <w:r>
              <w:rPr>
                <w:rFonts w:hint="eastAsia" w:ascii="Times New Roman" w:hAnsi="Times New Roman" w:eastAsia="宋体" w:cs="Times New Roman"/>
                <w:color w:val="auto"/>
                <w:szCs w:val="21"/>
                <w:lang w:val="en-US" w:eastAsia="zh-CN"/>
              </w:rPr>
              <w:t>8（勘查时间）、2025.12.24（复查时间）</w:t>
            </w:r>
          </w:p>
        </w:tc>
      </w:tr>
      <w:tr w14:paraId="18F50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0A30BB6E">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0D62788">
            <w:pPr>
              <w:adjustRightInd w:val="0"/>
              <w:snapToGrid w:val="0"/>
              <w:jc w:val="center"/>
              <w:rPr>
                <w:rFonts w:ascii="Times New Roman" w:hAnsi="Times New Roman" w:eastAsia="宋体" w:cs="Times New Roman"/>
                <w:b/>
                <w:color w:val="auto"/>
                <w:szCs w:val="21"/>
              </w:rPr>
            </w:pPr>
            <w:r>
              <w:rPr>
                <w:rFonts w:ascii="Times New Roman" w:hAnsi="Times New Roman" w:cs="Times New Roman"/>
                <w:color w:val="auto"/>
                <w:szCs w:val="21"/>
              </w:rPr>
              <w:t>现场勘查、收集并核实业主单位提供的安全评价相关资料</w:t>
            </w:r>
          </w:p>
        </w:tc>
      </w:tr>
      <w:tr w14:paraId="25E5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347672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勘察中发</w:t>
            </w:r>
          </w:p>
          <w:p w14:paraId="4006E0C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0F0E3C40">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1#甲类仓库管理看板中硬脂酸钠酒精和硝化棉酒精规格错误。</w:t>
            </w:r>
          </w:p>
          <w:p w14:paraId="02F998A9">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仓库门和消防通道被堵塞。</w:t>
            </w:r>
          </w:p>
          <w:p w14:paraId="3EE64B9F">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1#罐组现场无酵母液卸车操作规程。</w:t>
            </w:r>
          </w:p>
          <w:p w14:paraId="30A1F777">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1#甲类仓库硬脂酸钠酒精包装规格与安全设施设计专篇不一致。</w:t>
            </w:r>
          </w:p>
          <w:p w14:paraId="1B468EC0">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丁类仓库目前为备品备件库，且储存大量可燃包装，未储存七水硫酸镁和氢氧化钠；2#丙类仓库储存生物质燃料等原辅材料；1#甲类仓库1个防火分区储存硬脂酸钠酒精，另1个防火分区储存硝化棉酒精、甲醇燃料油、乙二醇燃料油，与安全设施设计专篇不一致。</w:t>
            </w:r>
          </w:p>
          <w:p w14:paraId="569F03F5">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丙类厂房室外设备区新增排气筒，室内新增包装间，机封冷却水回用水罐等设备，与设备布置图不一致，暂存罐附近泵布置与设备布置图不一致。</w:t>
            </w:r>
          </w:p>
          <w:p w14:paraId="53DD3135">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甲类厂房室外设备区硬脂酸燃料反应釜附近泵的数量和布置与设备布置图不一致，新增粗甲醇计量罐，设备布置图中无粗甲醇计量罐。</w:t>
            </w:r>
          </w:p>
          <w:p w14:paraId="2E9683EF">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1#罐组乙二醇储罐改为酵母液储罐，设备布置图未变更。</w:t>
            </w:r>
          </w:p>
          <w:p w14:paraId="0FC87E29">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部分设备规格型号等与安全设施设计专篇不一致：如硝化棉燃料反应釜规格型号22kW，介质硬脂酸和硝化棉，安全设施设计专篇中规格型号11kW，介质甲醇和硝化棉。</w:t>
            </w:r>
          </w:p>
          <w:p w14:paraId="42868A01">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1#甲类仓库可燃气体检测设置不合理：库房1涉及硬脂酸钠酒精和硝化棉酒精，主要成分甲醇，未设置甲醇可燃气体检测。</w:t>
            </w:r>
          </w:p>
          <w:p w14:paraId="77048847">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2#甲类仓库可燃气体报警布置与安全设施设计专篇不一致。</w:t>
            </w:r>
          </w:p>
          <w:p w14:paraId="6AC9BC38">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1#罐组乙二醇储罐改为酵母液储罐，联锁未设置。</w:t>
            </w:r>
          </w:p>
          <w:p w14:paraId="72229DB6">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碱液配置罐改为热水罐，联锁未变更。</w:t>
            </w:r>
          </w:p>
          <w:p w14:paraId="72569D2B">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总管甲醇流量和总管自来水流量联锁未设置。</w:t>
            </w:r>
          </w:p>
          <w:p w14:paraId="34D67597">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硝化棉燃料用粗甲醇配置釜R-11004液位高高联锁关闭硝化棉燃料用粗甲醇配置釜进料粗甲醇开关阀未设置，硝化棉燃料用粗甲醇配置釜R-11005液位高高联锁停粗甲醇打料泵未设置。</w:t>
            </w:r>
          </w:p>
          <w:p w14:paraId="3E869C36">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硝化棉燃料反应釜粗甲醇流量联锁未设置。</w:t>
            </w:r>
          </w:p>
          <w:p w14:paraId="72FB166F">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甲醇醇基燃料配置釜液位高高联锁停粗甲醇打料泵未设置。</w:t>
            </w:r>
          </w:p>
          <w:p w14:paraId="6850FBE9">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乙二醇醇基燃料配制釜乙二醇流量联锁未设置。</w:t>
            </w:r>
          </w:p>
          <w:p w14:paraId="35FA21B4">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粗甲醇地槽液位联锁未设置。</w:t>
            </w:r>
          </w:p>
          <w:p w14:paraId="77C4781E">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丙类厂房DCS联锁未设置。</w:t>
            </w:r>
          </w:p>
          <w:p w14:paraId="5A5A09FC">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eastAsia"/>
                <w:color w:val="auto"/>
                <w:sz w:val="24"/>
                <w:lang w:val="en-US" w:eastAsia="zh-CN"/>
              </w:rPr>
            </w:pPr>
            <w:r>
              <w:rPr>
                <w:rFonts w:hint="eastAsia"/>
                <w:color w:val="auto"/>
                <w:sz w:val="24"/>
                <w:lang w:val="en-US" w:eastAsia="zh-CN"/>
              </w:rPr>
              <w:t>控制室画面氯化铵储罐液位高高联锁动作为乙二醇储罐V-31102进料联锁投切，低低联锁动作为乙二醇储罐V-31102出料联锁投切，与安全设施设计专篇不一致，低低联锁停氯化铵溶液打料泵未设置。</w:t>
            </w:r>
          </w:p>
          <w:p w14:paraId="7984A772">
            <w:pPr>
              <w:keepNext w:val="0"/>
              <w:keepLines w:val="0"/>
              <w:pageBreakBefore w:val="0"/>
              <w:widowControl w:val="0"/>
              <w:kinsoku/>
              <w:wordWrap/>
              <w:overflowPunct/>
              <w:topLinePunct w:val="0"/>
              <w:autoSpaceDE/>
              <w:autoSpaceDN/>
              <w:bidi w:val="0"/>
              <w:adjustRightInd w:val="0"/>
              <w:snapToGrid w:val="0"/>
              <w:ind w:firstLine="0" w:firstLineChars="0"/>
              <w:jc w:val="both"/>
              <w:textAlignment w:val="auto"/>
              <w:rPr>
                <w:rFonts w:hint="default" w:eastAsia="宋体"/>
                <w:lang w:val="en-US" w:eastAsia="zh-CN"/>
              </w:rPr>
            </w:pPr>
            <w:r>
              <w:rPr>
                <w:rFonts w:hint="eastAsia"/>
                <w:color w:val="auto"/>
                <w:sz w:val="24"/>
                <w:lang w:val="en-US" w:eastAsia="zh-CN"/>
              </w:rPr>
              <w:t>控制室画面乙二醇醇基燃料配置釜液位高高联锁动作为1#罐组乙二醇卸料泵P31003联锁投切，与安全设施设计专篇不一致。</w:t>
            </w:r>
          </w:p>
        </w:tc>
      </w:tr>
      <w:tr w14:paraId="5635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F768004">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6693835">
            <w:pPr>
              <w:ind w:left="0" w:leftChars="0" w:firstLine="0" w:firstLineChars="0"/>
              <w:jc w:val="center"/>
              <w:rPr>
                <w:rFonts w:hint="eastAsia" w:eastAsia="宋体"/>
                <w:lang w:eastAsia="zh-CN"/>
              </w:rPr>
            </w:pPr>
            <w:r>
              <w:rPr>
                <w:rFonts w:hint="eastAsia" w:eastAsia="宋体"/>
                <w:lang w:eastAsia="zh-CN"/>
              </w:rPr>
              <w:drawing>
                <wp:inline distT="0" distB="0" distL="114300" distR="114300">
                  <wp:extent cx="7029450" cy="5272405"/>
                  <wp:effectExtent l="0" t="0" r="4445" b="0"/>
                  <wp:docPr id="12" name="图片 5" descr="2025090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20250902 (1)"/>
                          <pic:cNvPicPr>
                            <a:picLocks noChangeAspect="1"/>
                          </pic:cNvPicPr>
                        </pic:nvPicPr>
                        <pic:blipFill>
                          <a:blip r:embed="rId4"/>
                          <a:stretch>
                            <a:fillRect/>
                          </a:stretch>
                        </pic:blipFill>
                        <pic:spPr>
                          <a:xfrm rot="5400000">
                            <a:off x="0" y="0"/>
                            <a:ext cx="7029450" cy="5272405"/>
                          </a:xfrm>
                          <a:prstGeom prst="rect">
                            <a:avLst/>
                          </a:prstGeom>
                          <a:noFill/>
                          <a:ln>
                            <a:noFill/>
                          </a:ln>
                        </pic:spPr>
                      </pic:pic>
                    </a:graphicData>
                  </a:graphic>
                </wp:inline>
              </w:drawing>
            </w:r>
            <w:r>
              <w:rPr>
                <w:rFonts w:hint="eastAsia" w:eastAsia="宋体"/>
                <w:lang w:eastAsia="zh-CN"/>
              </w:rPr>
              <w:drawing>
                <wp:inline distT="0" distB="0" distL="114300" distR="114300">
                  <wp:extent cx="7029450" cy="5272405"/>
                  <wp:effectExtent l="0" t="0" r="4445" b="0"/>
                  <wp:docPr id="13" name="图片 6" descr="人员 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人员 照片"/>
                          <pic:cNvPicPr>
                            <a:picLocks noChangeAspect="1"/>
                          </pic:cNvPicPr>
                        </pic:nvPicPr>
                        <pic:blipFill>
                          <a:blip r:embed="rId5"/>
                          <a:stretch>
                            <a:fillRect/>
                          </a:stretch>
                        </pic:blipFill>
                        <pic:spPr>
                          <a:xfrm rot="5400000">
                            <a:off x="0" y="0"/>
                            <a:ext cx="7029450" cy="5272405"/>
                          </a:xfrm>
                          <a:prstGeom prst="rect">
                            <a:avLst/>
                          </a:prstGeom>
                          <a:noFill/>
                          <a:ln>
                            <a:noFill/>
                          </a:ln>
                        </pic:spPr>
                      </pic:pic>
                    </a:graphicData>
                  </a:graphic>
                </wp:inline>
              </w:drawing>
            </w:r>
            <w:r>
              <w:rPr>
                <w:rFonts w:hint="eastAsia" w:eastAsia="宋体"/>
                <w:lang w:eastAsia="zh-CN"/>
              </w:rPr>
              <w:drawing>
                <wp:inline distT="0" distB="0" distL="114300" distR="114300">
                  <wp:extent cx="5273040" cy="3954145"/>
                  <wp:effectExtent l="0" t="0" r="3810" b="8255"/>
                  <wp:docPr id="11" name="图片 7" descr="2025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20251224"/>
                          <pic:cNvPicPr>
                            <a:picLocks noChangeAspect="1"/>
                          </pic:cNvPicPr>
                        </pic:nvPicPr>
                        <pic:blipFill>
                          <a:blip r:embed="rId6"/>
                          <a:stretch>
                            <a:fillRect/>
                          </a:stretch>
                        </pic:blipFill>
                        <pic:spPr>
                          <a:xfrm>
                            <a:off x="0" y="0"/>
                            <a:ext cx="5273040" cy="3954145"/>
                          </a:xfrm>
                          <a:prstGeom prst="rect">
                            <a:avLst/>
                          </a:prstGeom>
                          <a:noFill/>
                          <a:ln>
                            <a:noFill/>
                          </a:ln>
                        </pic:spPr>
                      </pic:pic>
                    </a:graphicData>
                  </a:graphic>
                </wp:inline>
              </w:drawing>
            </w:r>
            <w:bookmarkStart w:id="0" w:name="_GoBack"/>
            <w:bookmarkEnd w:id="0"/>
            <w:r>
              <w:rPr>
                <w:rFonts w:hint="eastAsia" w:eastAsia="宋体"/>
                <w:lang w:eastAsia="zh-CN"/>
              </w:rPr>
              <w:drawing>
                <wp:inline distT="0" distB="0" distL="114300" distR="114300">
                  <wp:extent cx="5264785" cy="3947160"/>
                  <wp:effectExtent l="0" t="0" r="12065" b="15240"/>
                  <wp:docPr id="14" name="图片 9" descr="2025121116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20251211162540"/>
                          <pic:cNvPicPr>
                            <a:picLocks noChangeAspect="1"/>
                          </pic:cNvPicPr>
                        </pic:nvPicPr>
                        <pic:blipFill>
                          <a:blip r:embed="rId7"/>
                          <a:stretch>
                            <a:fillRect/>
                          </a:stretch>
                        </pic:blipFill>
                        <pic:spPr>
                          <a:xfrm>
                            <a:off x="0" y="0"/>
                            <a:ext cx="5264785" cy="3947160"/>
                          </a:xfrm>
                          <a:prstGeom prst="rect">
                            <a:avLst/>
                          </a:prstGeom>
                          <a:noFill/>
                          <a:ln>
                            <a:noFill/>
                          </a:ln>
                        </pic:spPr>
                      </pic:pic>
                    </a:graphicData>
                  </a:graphic>
                </wp:inline>
              </w:drawing>
            </w:r>
            <w:r>
              <w:rPr>
                <w:rFonts w:hint="eastAsia" w:eastAsia="宋体"/>
                <w:lang w:eastAsia="zh-CN"/>
              </w:rPr>
              <w:drawing>
                <wp:inline distT="0" distB="0" distL="114300" distR="114300">
                  <wp:extent cx="5264785" cy="3947160"/>
                  <wp:effectExtent l="0" t="0" r="12065" b="15240"/>
                  <wp:docPr id="9" name="图片 10" descr="2025121116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20251211162606"/>
                          <pic:cNvPicPr>
                            <a:picLocks noChangeAspect="1"/>
                          </pic:cNvPicPr>
                        </pic:nvPicPr>
                        <pic:blipFill>
                          <a:blip r:embed="rId8"/>
                          <a:stretch>
                            <a:fillRect/>
                          </a:stretch>
                        </pic:blipFill>
                        <pic:spPr>
                          <a:xfrm>
                            <a:off x="0" y="0"/>
                            <a:ext cx="5264785" cy="3947160"/>
                          </a:xfrm>
                          <a:prstGeom prst="rect">
                            <a:avLst/>
                          </a:prstGeom>
                          <a:noFill/>
                          <a:ln>
                            <a:noFill/>
                          </a:ln>
                        </pic:spPr>
                      </pic:pic>
                    </a:graphicData>
                  </a:graphic>
                </wp:inline>
              </w:drawing>
            </w:r>
          </w:p>
          <w:p w14:paraId="35E13C50">
            <w:pPr>
              <w:rPr>
                <w:rFonts w:hint="eastAsia"/>
                <w:lang w:eastAsia="zh-CN"/>
              </w:rPr>
            </w:pPr>
          </w:p>
          <w:p w14:paraId="0AE6F45B">
            <w:pPr>
              <w:ind w:left="0" w:leftChars="0" w:firstLine="0" w:firstLineChars="0"/>
              <w:jc w:val="center"/>
              <w:rPr>
                <w:rFonts w:hint="eastAsia" w:eastAsia="宋体"/>
                <w:lang w:eastAsia="zh-CN"/>
              </w:rPr>
            </w:pPr>
          </w:p>
          <w:p w14:paraId="6C28ACE2">
            <w:pPr>
              <w:rPr>
                <w:rFonts w:hint="eastAsia"/>
                <w:lang w:eastAsia="zh-CN"/>
              </w:rPr>
            </w:pPr>
          </w:p>
          <w:p w14:paraId="4C1A5E2C">
            <w:pPr>
              <w:ind w:left="0" w:leftChars="0" w:firstLine="0" w:firstLineChars="0"/>
              <w:jc w:val="center"/>
              <w:rPr>
                <w:rFonts w:hint="eastAsia" w:ascii="Times New Roman" w:hAnsi="Times New Roman" w:eastAsia="宋体" w:cs="Times New Roman"/>
                <w:color w:val="auto"/>
                <w:lang w:eastAsia="zh-CN"/>
              </w:rPr>
            </w:pPr>
          </w:p>
        </w:tc>
      </w:tr>
    </w:tbl>
    <w:p w14:paraId="1776E4EA">
      <w:pPr>
        <w:rPr>
          <w:color w:val="auto"/>
        </w:rPr>
      </w:pPr>
    </w:p>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altName w:val="黑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MWY2MGY4MWNkNzUzMTQyYmEzNGM0YmM3YWJkMDExYjkifQ=="/>
  </w:docVars>
  <w:rsids>
    <w:rsidRoot w:val="00C32FF9"/>
    <w:rsid w:val="00035D91"/>
    <w:rsid w:val="0005239F"/>
    <w:rsid w:val="001A0318"/>
    <w:rsid w:val="002452E5"/>
    <w:rsid w:val="00297BEE"/>
    <w:rsid w:val="0033323F"/>
    <w:rsid w:val="00353FDF"/>
    <w:rsid w:val="00356E23"/>
    <w:rsid w:val="00363F20"/>
    <w:rsid w:val="003C11AC"/>
    <w:rsid w:val="003C565C"/>
    <w:rsid w:val="003E1B58"/>
    <w:rsid w:val="003F67B9"/>
    <w:rsid w:val="00416E5D"/>
    <w:rsid w:val="00443F57"/>
    <w:rsid w:val="004A2C1D"/>
    <w:rsid w:val="004B7939"/>
    <w:rsid w:val="004D4AA6"/>
    <w:rsid w:val="004D71F6"/>
    <w:rsid w:val="004E3860"/>
    <w:rsid w:val="005A2343"/>
    <w:rsid w:val="005E7707"/>
    <w:rsid w:val="00647FFB"/>
    <w:rsid w:val="00656C7A"/>
    <w:rsid w:val="00677166"/>
    <w:rsid w:val="006B2ACB"/>
    <w:rsid w:val="006C336F"/>
    <w:rsid w:val="006D1D4D"/>
    <w:rsid w:val="006F7F1B"/>
    <w:rsid w:val="00720ED1"/>
    <w:rsid w:val="00721B3F"/>
    <w:rsid w:val="007313A4"/>
    <w:rsid w:val="007712C4"/>
    <w:rsid w:val="00771D99"/>
    <w:rsid w:val="00774C79"/>
    <w:rsid w:val="007A34FC"/>
    <w:rsid w:val="007A4CEF"/>
    <w:rsid w:val="00800545"/>
    <w:rsid w:val="00806D0C"/>
    <w:rsid w:val="0088430C"/>
    <w:rsid w:val="008D11A5"/>
    <w:rsid w:val="00930DEA"/>
    <w:rsid w:val="009A0DE0"/>
    <w:rsid w:val="00A82471"/>
    <w:rsid w:val="00AA4740"/>
    <w:rsid w:val="00AB228D"/>
    <w:rsid w:val="00AB72A2"/>
    <w:rsid w:val="00AC0DCA"/>
    <w:rsid w:val="00AF3EF1"/>
    <w:rsid w:val="00B269FD"/>
    <w:rsid w:val="00B419DC"/>
    <w:rsid w:val="00B53840"/>
    <w:rsid w:val="00B75E9C"/>
    <w:rsid w:val="00B92338"/>
    <w:rsid w:val="00BB7406"/>
    <w:rsid w:val="00C30872"/>
    <w:rsid w:val="00C32FF9"/>
    <w:rsid w:val="00C457EC"/>
    <w:rsid w:val="00CA474B"/>
    <w:rsid w:val="00CE7B1A"/>
    <w:rsid w:val="00D11F37"/>
    <w:rsid w:val="00D20D6B"/>
    <w:rsid w:val="00D21C2D"/>
    <w:rsid w:val="00D84782"/>
    <w:rsid w:val="00D85DBF"/>
    <w:rsid w:val="00D94369"/>
    <w:rsid w:val="00DC2E91"/>
    <w:rsid w:val="00F21D5C"/>
    <w:rsid w:val="00F34C2B"/>
    <w:rsid w:val="00F54203"/>
    <w:rsid w:val="00F57A83"/>
    <w:rsid w:val="00F71732"/>
    <w:rsid w:val="00F72317"/>
    <w:rsid w:val="00FB5DDF"/>
    <w:rsid w:val="016B0346"/>
    <w:rsid w:val="019F2CE2"/>
    <w:rsid w:val="0920073E"/>
    <w:rsid w:val="092B29EA"/>
    <w:rsid w:val="093323AE"/>
    <w:rsid w:val="0A0C5713"/>
    <w:rsid w:val="0D622E71"/>
    <w:rsid w:val="0F034B58"/>
    <w:rsid w:val="11510E8C"/>
    <w:rsid w:val="117A27F8"/>
    <w:rsid w:val="128B2640"/>
    <w:rsid w:val="18236AA0"/>
    <w:rsid w:val="18262F75"/>
    <w:rsid w:val="1CD92667"/>
    <w:rsid w:val="1F286FC1"/>
    <w:rsid w:val="1FEE53C0"/>
    <w:rsid w:val="218D763F"/>
    <w:rsid w:val="21902E98"/>
    <w:rsid w:val="24341996"/>
    <w:rsid w:val="24C011BE"/>
    <w:rsid w:val="256B6005"/>
    <w:rsid w:val="28B430CE"/>
    <w:rsid w:val="299A55A4"/>
    <w:rsid w:val="2ADE61BC"/>
    <w:rsid w:val="2CA63131"/>
    <w:rsid w:val="2DD0059E"/>
    <w:rsid w:val="3169606F"/>
    <w:rsid w:val="352829DE"/>
    <w:rsid w:val="35F218A5"/>
    <w:rsid w:val="36BE09F1"/>
    <w:rsid w:val="38152E19"/>
    <w:rsid w:val="3987315F"/>
    <w:rsid w:val="3B367FDF"/>
    <w:rsid w:val="3C0E7984"/>
    <w:rsid w:val="3CFA504F"/>
    <w:rsid w:val="3D603CF6"/>
    <w:rsid w:val="3E50165A"/>
    <w:rsid w:val="3F911B74"/>
    <w:rsid w:val="3FED07F1"/>
    <w:rsid w:val="42CB4766"/>
    <w:rsid w:val="44BC33A0"/>
    <w:rsid w:val="450E67AE"/>
    <w:rsid w:val="477632B4"/>
    <w:rsid w:val="4A490397"/>
    <w:rsid w:val="4A8F1E9E"/>
    <w:rsid w:val="4DAE5A6A"/>
    <w:rsid w:val="4F0A3F8B"/>
    <w:rsid w:val="50182265"/>
    <w:rsid w:val="51CB7E06"/>
    <w:rsid w:val="585B4014"/>
    <w:rsid w:val="594E62E6"/>
    <w:rsid w:val="5D6B1023"/>
    <w:rsid w:val="5DD05760"/>
    <w:rsid w:val="5E564E88"/>
    <w:rsid w:val="5EB22D31"/>
    <w:rsid w:val="5FC44107"/>
    <w:rsid w:val="62EE7EDC"/>
    <w:rsid w:val="630864B7"/>
    <w:rsid w:val="64575F83"/>
    <w:rsid w:val="6461774E"/>
    <w:rsid w:val="65DE7D7F"/>
    <w:rsid w:val="696076FA"/>
    <w:rsid w:val="6BDC307B"/>
    <w:rsid w:val="6C3C7313"/>
    <w:rsid w:val="72BA266A"/>
    <w:rsid w:val="734A7277"/>
    <w:rsid w:val="745B0E64"/>
    <w:rsid w:val="7678068A"/>
    <w:rsid w:val="7742277E"/>
    <w:rsid w:val="787D00C6"/>
    <w:rsid w:val="79673552"/>
    <w:rsid w:val="7A794689"/>
    <w:rsid w:val="7D81086D"/>
    <w:rsid w:val="7EA90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ind w:firstLine="0" w:firstLineChars="0"/>
      <w:jc w:val="left"/>
      <w:outlineLvl w:val="1"/>
    </w:pPr>
    <w:rPr>
      <w:rFonts w:eastAsia="楷体" w:cs="Times New Roman"/>
      <w:b/>
      <w:bCs/>
      <w:sz w:val="32"/>
      <w:szCs w:val="32"/>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wordWrap w:val="0"/>
      <w:adjustRightInd w:val="0"/>
      <w:snapToGrid w:val="0"/>
      <w:spacing w:before="62" w:beforeLines="20" w:line="460" w:lineRule="exact"/>
      <w:ind w:firstLine="480" w:firstLineChars="200"/>
    </w:pPr>
    <w:rPr>
      <w:sz w:val="24"/>
    </w:rPr>
  </w:style>
  <w:style w:type="paragraph" w:styleId="4">
    <w:name w:val="Balloon Text"/>
    <w:basedOn w:val="1"/>
    <w:link w:val="12"/>
    <w:qFormat/>
    <w:uiPriority w:val="0"/>
    <w:rPr>
      <w:sz w:val="18"/>
      <w:szCs w:val="18"/>
    </w:rPr>
  </w:style>
  <w:style w:type="paragraph" w:styleId="5">
    <w:name w:val="footer"/>
    <w:basedOn w:val="1"/>
    <w:link w:val="11"/>
    <w:qFormat/>
    <w:uiPriority w:val="0"/>
    <w:pPr>
      <w:tabs>
        <w:tab w:val="center" w:pos="4153"/>
        <w:tab w:val="right" w:pos="8306"/>
      </w:tabs>
      <w:snapToGrid w:val="0"/>
      <w:jc w:val="left"/>
    </w:pPr>
    <w:rPr>
      <w:sz w:val="18"/>
      <w:szCs w:val="18"/>
    </w:rPr>
  </w:style>
  <w:style w:type="paragraph" w:styleId="6">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Autospacing="1" w:afterAutospacing="1"/>
      <w:jc w:val="left"/>
    </w:pPr>
    <w:rPr>
      <w:rFonts w:hint="eastAsia" w:ascii="宋体" w:hAnsi="宋体" w:eastAsia="宋体" w:cs="Times New Roman"/>
      <w:kern w:val="0"/>
      <w:sz w:val="24"/>
    </w:rPr>
  </w:style>
  <w:style w:type="character" w:customStyle="1" w:styleId="10">
    <w:name w:val="页眉 Char"/>
    <w:basedOn w:val="9"/>
    <w:link w:val="6"/>
    <w:qFormat/>
    <w:uiPriority w:val="0"/>
    <w:rPr>
      <w:rFonts w:asciiTheme="minorHAnsi" w:hAnsiTheme="minorHAnsi" w:eastAsiaTheme="minorEastAsia" w:cstheme="minorBidi"/>
      <w:kern w:val="2"/>
      <w:sz w:val="18"/>
      <w:szCs w:val="18"/>
    </w:rPr>
  </w:style>
  <w:style w:type="character" w:customStyle="1" w:styleId="11">
    <w:name w:val="页脚 Char"/>
    <w:basedOn w:val="9"/>
    <w:link w:val="5"/>
    <w:qFormat/>
    <w:uiPriority w:val="0"/>
    <w:rPr>
      <w:rFonts w:asciiTheme="minorHAnsi" w:hAnsiTheme="minorHAnsi" w:eastAsiaTheme="minorEastAsia" w:cstheme="minorBidi"/>
      <w:kern w:val="2"/>
      <w:sz w:val="18"/>
      <w:szCs w:val="18"/>
    </w:rPr>
  </w:style>
  <w:style w:type="character" w:customStyle="1" w:styleId="12">
    <w:name w:val="批注框文本 Char"/>
    <w:basedOn w:val="9"/>
    <w:link w:val="4"/>
    <w:qFormat/>
    <w:uiPriority w:val="0"/>
    <w:rPr>
      <w:rFonts w:asciiTheme="minorHAnsi" w:hAnsiTheme="minorHAnsi" w:eastAsiaTheme="minorEastAsia" w:cstheme="minorBidi"/>
      <w:kern w:val="2"/>
      <w:sz w:val="18"/>
      <w:szCs w:val="18"/>
    </w:rPr>
  </w:style>
  <w:style w:type="paragraph" w:styleId="1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6</Pages>
  <Words>1392</Words>
  <Characters>1803</Characters>
  <Lines>7</Lines>
  <Paragraphs>2</Paragraphs>
  <TotalTime>0</TotalTime>
  <ScaleCrop>false</ScaleCrop>
  <LinksUpToDate>false</LinksUpToDate>
  <CharactersWithSpaces>1803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butterfly</cp:lastModifiedBy>
  <dcterms:modified xsi:type="dcterms:W3CDTF">2026-05-15T02:23:17Z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CC8312D6E77D4FC8B6121A2CB74A4FAA</vt:lpwstr>
  </property>
  <property fmtid="{D5CDD505-2E9C-101B-9397-08002B2CF9AE}" pid="4" name="KSOTemplateDocerSaveRecord">
    <vt:lpwstr>eyJoZGlkIjoiMWY2MGY4MWNkNzUzMTQyYmEzNGM0YmM3YWJkMDExYjkiLCJ1c2VySWQiOiIyMzY1MDY2OTMifQ==</vt:lpwstr>
  </property>
</Properties>
</file>