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5F12D7">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7"/>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851"/>
        <w:gridCol w:w="1161"/>
        <w:gridCol w:w="1441"/>
        <w:gridCol w:w="1455"/>
        <w:gridCol w:w="1554"/>
      </w:tblGrid>
      <w:tr w14:paraId="03E8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CA9937B">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15F6F74">
            <w:pPr>
              <w:adjustRightInd w:val="0"/>
              <w:snapToGrid w:val="0"/>
              <w:jc w:val="center"/>
              <w:rPr>
                <w:rFonts w:ascii="Times New Roman" w:hAnsi="Times New Roman" w:eastAsia="宋体" w:cs="Times New Roman"/>
                <w:szCs w:val="21"/>
              </w:rPr>
            </w:pPr>
            <w:r>
              <w:rPr>
                <w:rFonts w:ascii="Times New Roman" w:hAnsi="Times New Roman" w:cs="Times New Roman"/>
                <w:szCs w:val="21"/>
              </w:rPr>
              <w:t>湖北景深安全技术有限公司</w:t>
            </w:r>
          </w:p>
        </w:tc>
        <w:tc>
          <w:tcPr>
            <w:tcW w:w="1441" w:type="dxa"/>
            <w:tcBorders>
              <w:top w:val="single" w:color="auto" w:sz="4" w:space="0"/>
              <w:left w:val="single" w:color="auto" w:sz="4" w:space="0"/>
              <w:bottom w:val="single" w:color="auto" w:sz="4" w:space="0"/>
              <w:right w:val="single" w:color="auto" w:sz="4" w:space="0"/>
            </w:tcBorders>
            <w:shd w:val="clear" w:color="auto" w:fill="auto"/>
            <w:vAlign w:val="center"/>
          </w:tcPr>
          <w:p w14:paraId="60A08199">
            <w:pPr>
              <w:adjustRightInd w:val="0"/>
              <w:snapToGrid w:val="0"/>
              <w:jc w:val="center"/>
              <w:rPr>
                <w:rFonts w:ascii="Times New Roman" w:hAnsi="Times New Roman" w:eastAsia="宋体" w:cs="Times New Roman"/>
                <w:b/>
                <w:szCs w:val="21"/>
              </w:rPr>
            </w:pPr>
            <w:r>
              <w:rPr>
                <w:rFonts w:ascii="Times New Roman" w:hAnsi="Times New Roman" w:cs="Times New Roman"/>
                <w:b/>
                <w:szCs w:val="21"/>
              </w:rPr>
              <w:t>资质证号</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778F8A">
            <w:pPr>
              <w:adjustRightInd w:val="0"/>
              <w:snapToGrid w:val="0"/>
              <w:jc w:val="center"/>
              <w:rPr>
                <w:rFonts w:hint="default" w:ascii="Times New Roman" w:hAnsi="Times New Roman" w:cs="Times New Roman" w:eastAsiaTheme="minorEastAsia"/>
                <w:b/>
                <w:szCs w:val="21"/>
                <w:lang w:val="en-US" w:eastAsia="zh-CN"/>
              </w:rPr>
            </w:pPr>
            <w:r>
              <w:rPr>
                <w:rFonts w:ascii="Times New Roman" w:hAnsi="Times New Roman" w:cs="Times New Roman"/>
                <w:szCs w:val="21"/>
              </w:rPr>
              <w:t>APJ-（鄂）-</w:t>
            </w:r>
            <w:r>
              <w:rPr>
                <w:rFonts w:hint="eastAsia" w:ascii="Times New Roman" w:hAnsi="Times New Roman" w:cs="Times New Roman"/>
                <w:szCs w:val="21"/>
                <w:lang w:val="en-US" w:eastAsia="zh-CN"/>
              </w:rPr>
              <w:t>002</w:t>
            </w:r>
          </w:p>
        </w:tc>
      </w:tr>
      <w:tr w14:paraId="3916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0A2C86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D241BF6">
            <w:pPr>
              <w:pStyle w:val="12"/>
              <w:keepNext w:val="0"/>
              <w:keepLines w:val="0"/>
              <w:pageBreakBefore w:val="0"/>
              <w:widowControl w:val="0"/>
              <w:kinsoku/>
              <w:wordWrap/>
              <w:overflowPunct/>
              <w:topLinePunct w:val="0"/>
              <w:autoSpaceDE/>
              <w:autoSpaceDN/>
              <w:bidi w:val="0"/>
              <w:adjustRightInd/>
              <w:snapToGrid/>
              <w:spacing w:before="0" w:beforeLines="0"/>
              <w:textAlignment w:val="auto"/>
              <w:rPr>
                <w:rFonts w:ascii="Times New Roman" w:hAnsi="Times New Roman" w:eastAsia="宋体" w:cs="Times New Roman"/>
                <w:szCs w:val="21"/>
              </w:rPr>
            </w:pPr>
            <w:r>
              <w:rPr>
                <w:rFonts w:hint="eastAsia" w:ascii="Times New Roman" w:hAnsi="Times New Roman" w:cs="Times New Roman" w:eastAsiaTheme="minorEastAsia"/>
                <w:b w:val="0"/>
                <w:bCs/>
                <w:sz w:val="21"/>
                <w:szCs w:val="21"/>
                <w:lang w:eastAsia="zh-CN"/>
              </w:rPr>
              <w:t>宜昌泰坦科技有限公司</w:t>
            </w:r>
          </w:p>
        </w:tc>
      </w:tr>
      <w:tr w14:paraId="1C43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392DA77">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421533B">
            <w:pPr>
              <w:adjustRightInd w:val="0"/>
              <w:snapToGrid w:val="0"/>
              <w:jc w:val="center"/>
              <w:rPr>
                <w:rFonts w:hint="default" w:ascii="Times New Roman" w:hAnsi="Times New Roman" w:eastAsia="宋体" w:cs="Times New Roman"/>
                <w:szCs w:val="21"/>
                <w:lang w:val="en-US"/>
              </w:rPr>
            </w:pPr>
            <w:r>
              <w:rPr>
                <w:rFonts w:hint="default" w:ascii="Times New Roman" w:hAnsi="Times New Roman" w:eastAsia="宋体" w:cs="Times New Roman"/>
                <w:szCs w:val="21"/>
                <w:lang w:val="en-US"/>
              </w:rPr>
              <w:t>宜昌泰坦科技有限公司高端科研试剂研发生产基地项目二期（变更）安全验收评价报告</w:t>
            </w:r>
          </w:p>
        </w:tc>
      </w:tr>
      <w:tr w14:paraId="1C92E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15CB539">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56FD58A">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eastAsia="zh-CN"/>
              </w:rPr>
              <w:t>化学原料、化学品及医药制造业</w:t>
            </w:r>
          </w:p>
        </w:tc>
      </w:tr>
      <w:tr w14:paraId="362C0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DC267B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安全评价过程控制情况</w:t>
            </w:r>
          </w:p>
        </w:tc>
      </w:tr>
      <w:tr w14:paraId="4A4B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2B4407">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w:t>
            </w:r>
          </w:p>
          <w:p w14:paraId="3B41EC8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项目管理</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8ACB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项目组长</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DF72B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技术负责人</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A846B2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过程控制负责人</w:t>
            </w:r>
          </w:p>
        </w:tc>
      </w:tr>
      <w:tr w14:paraId="35D18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BCB319">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1A78D5F">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lang w:val="en-US" w:eastAsia="zh-CN"/>
              </w:rPr>
              <w:t>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383B38">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邹德新</w:t>
            </w:r>
          </w:p>
        </w:tc>
        <w:tc>
          <w:tcPr>
            <w:tcW w:w="3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E294AC4">
            <w:pPr>
              <w:adjustRightInd w:val="0"/>
              <w:snapToGrid w:val="0"/>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余海波</w:t>
            </w:r>
          </w:p>
        </w:tc>
      </w:tr>
      <w:tr w14:paraId="412F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34882A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编制</w:t>
            </w:r>
          </w:p>
          <w:p w14:paraId="209FB44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过程</w:t>
            </w: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2FEA9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报告编制人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00688F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报告提交日期</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47D315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4FD82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报告审批人</w:t>
            </w:r>
          </w:p>
        </w:tc>
      </w:tr>
      <w:tr w14:paraId="73CE4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32D274">
            <w:pPr>
              <w:rPr>
                <w:rFonts w:ascii="Times New Roman" w:hAnsi="Times New Roman" w:eastAsia="宋体" w:cs="Times New Roman"/>
                <w:szCs w:val="22"/>
              </w:rPr>
            </w:pPr>
          </w:p>
        </w:tc>
        <w:tc>
          <w:tcPr>
            <w:tcW w:w="29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967F79">
            <w:pPr>
              <w:adjustRightInd w:val="0"/>
              <w:snapToGrid w:val="0"/>
              <w:jc w:val="center"/>
              <w:rPr>
                <w:rFonts w:hint="default" w:ascii="Times New Roman" w:hAnsi="Times New Roman" w:cs="Times New Roman" w:eastAsiaTheme="minorEastAsia"/>
                <w:color w:val="000000" w:themeColor="text1"/>
                <w:szCs w:val="21"/>
                <w:lang w:val="en-US" w:eastAsia="zh-CN"/>
              </w:rPr>
            </w:pPr>
            <w:r>
              <w:rPr>
                <w:rFonts w:hint="eastAsia" w:ascii="Times New Roman" w:hAnsi="Times New Roman" w:eastAsia="宋体" w:cs="Times New Roman"/>
                <w:szCs w:val="21"/>
                <w:lang w:val="en-US" w:eastAsia="zh-CN"/>
              </w:rPr>
              <w:t>鲁小芳、王海波</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B202FA">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2026.3.2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6609318">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szCs w:val="21"/>
                <w:lang w:val="en-US" w:eastAsia="zh-CN"/>
              </w:rPr>
              <w:t>李祥太</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AA97A42">
            <w:pPr>
              <w:adjustRightInd w:val="0"/>
              <w:snapToGrid w:val="0"/>
              <w:jc w:val="center"/>
              <w:rPr>
                <w:rFonts w:hint="eastAsia" w:ascii="Times New Roman" w:hAnsi="Times New Roman" w:eastAsia="宋体" w:cs="Times New Roman"/>
                <w:szCs w:val="21"/>
                <w:lang w:eastAsia="zh-CN"/>
              </w:rPr>
            </w:pPr>
            <w:r>
              <w:rPr>
                <w:rFonts w:hint="eastAsia" w:ascii="Times New Roman" w:hAnsi="Times New Roman" w:cs="Times New Roman"/>
                <w:color w:val="auto"/>
                <w:szCs w:val="21"/>
                <w:lang w:val="en-US" w:eastAsia="zh-CN"/>
              </w:rPr>
              <w:t>邹德新</w:t>
            </w:r>
          </w:p>
        </w:tc>
      </w:tr>
      <w:tr w14:paraId="5AE8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21094928">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w:t>
            </w:r>
          </w:p>
          <w:p w14:paraId="562F510D">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w:t>
            </w:r>
          </w:p>
          <w:p w14:paraId="0E2A38EC">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项目</w:t>
            </w:r>
          </w:p>
          <w:p w14:paraId="23BAE56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参与</w:t>
            </w:r>
          </w:p>
          <w:p w14:paraId="5A68AB8A">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CB93461">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姓名</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9E15D04">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认定专业</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4DF3D2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安全评价师从业识别卡/</w:t>
            </w:r>
          </w:p>
          <w:p w14:paraId="2F5D63E3">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证书编号</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2CB0CEF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10AFA86">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是否专职</w:t>
            </w:r>
          </w:p>
        </w:tc>
      </w:tr>
      <w:tr w14:paraId="1827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E57C8E2">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BD94C2A">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王海波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7FA42B5">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BC44886">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035981</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S011032000110192001402</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BD3B725">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9AA98B5">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3E0A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6E513D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64B951D">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夏  鹏</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41BE701D">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75CE95C">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035984/S011032000110192000988</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015A12FE">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4D4878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F5F9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4A2C116">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CE801E9">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鲁小芳</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D2EA65D">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安全</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1677799">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036168/S011032000110193000940</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602E2DA">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szCs w:val="21"/>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4667541">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523A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A812AF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61B0BDB">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谭  辉</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7496F62">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化工工艺/化工机械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FD88A9D">
            <w:pPr>
              <w:jc w:val="center"/>
              <w:rPr>
                <w:rFonts w:hint="eastAsia"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028934</w:t>
            </w:r>
            <w:r>
              <w:rPr>
                <w:rFonts w:hint="eastAsia" w:ascii="Times New Roman" w:hAnsi="Times New Roman" w:cs="Times New Roman" w:eastAsiaTheme="minorEastAsia"/>
                <w:szCs w:val="21"/>
                <w:lang w:val="en-US" w:eastAsia="zh-CN"/>
              </w:rPr>
              <w:t>/</w:t>
            </w:r>
            <w:r>
              <w:rPr>
                <w:rFonts w:hint="default" w:ascii="Times New Roman" w:hAnsi="Times New Roman" w:cs="Times New Roman" w:eastAsiaTheme="minorEastAsia"/>
                <w:szCs w:val="21"/>
                <w:lang w:val="en-US" w:eastAsia="zh-CN"/>
              </w:rPr>
              <w:t>S011032000110192001025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DEA2339">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4CBEF3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D52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795930B">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A27BE7E">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冀仕盛</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73F42675">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27EF55">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012346</w:t>
            </w:r>
            <w:r>
              <w:rPr>
                <w:rFonts w:hint="default" w:ascii="Times New Roman" w:hAnsi="Times New Roman" w:cs="Times New Roman" w:eastAsiaTheme="minorEastAsia"/>
                <w:szCs w:val="21"/>
                <w:lang w:val="en-US" w:eastAsia="zh-CN"/>
              </w:rPr>
              <w:t>/</w:t>
            </w:r>
            <w:r>
              <w:rPr>
                <w:rFonts w:hint="eastAsia" w:ascii="Times New Roman" w:hAnsi="Times New Roman" w:cs="Times New Roman" w:eastAsiaTheme="minorEastAsia"/>
                <w:szCs w:val="21"/>
                <w:lang w:val="en-US" w:eastAsia="zh-CN"/>
              </w:rPr>
              <w:t>0800000000207709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3880F6F8">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CBCAC2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4D43E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21BB64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C6BE281">
            <w:pPr>
              <w:keepNext w:val="0"/>
              <w:keepLines w:val="0"/>
              <w:pageBreakBefore w:val="0"/>
              <w:widowControl w:val="0"/>
              <w:kinsoku/>
              <w:wordWrap/>
              <w:topLinePunct w:val="0"/>
              <w:autoSpaceDE/>
              <w:autoSpaceDN/>
              <w:bidi w:val="0"/>
              <w:adjustRightInd w:val="0"/>
              <w:snapToGrid w:val="0"/>
              <w:spacing w:line="240" w:lineRule="auto"/>
              <w:jc w:val="center"/>
              <w:textAlignment w:val="auto"/>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rPr>
              <w:t>王正飞</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093E969">
            <w:pPr>
              <w:keepNext w:val="0"/>
              <w:keepLines w:val="0"/>
              <w:pageBreakBefore w:val="0"/>
              <w:widowControl w:val="0"/>
              <w:kinsoku/>
              <w:wordWrap/>
              <w:topLinePunct w:val="0"/>
              <w:autoSpaceDE/>
              <w:autoSpaceDN/>
              <w:bidi w:val="0"/>
              <w:adjustRightInd w:val="0"/>
              <w:snapToGrid w:val="0"/>
              <w:spacing w:line="240" w:lineRule="auto"/>
              <w:jc w:val="center"/>
              <w:textAlignment w:val="auto"/>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rPr>
              <w:t>自动化/电气</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91535E">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rPr>
              <w:t>035979</w:t>
            </w:r>
            <w:r>
              <w:rPr>
                <w:rFonts w:hint="eastAsia" w:ascii="Times New Roman" w:hAnsi="Times New Roman" w:cs="Times New Roman"/>
                <w:color w:val="auto"/>
                <w:lang w:val="en-US" w:eastAsia="zh-CN"/>
              </w:rPr>
              <w:t>/</w:t>
            </w:r>
            <w:r>
              <w:rPr>
                <w:rFonts w:ascii="Times New Roman" w:hAnsi="Times New Roman" w:cs="Times New Roman"/>
                <w:color w:val="auto"/>
              </w:rPr>
              <w:t>S011032000110192001415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AB66883">
            <w:pPr>
              <w:jc w:val="center"/>
              <w:rPr>
                <w:rFonts w:hint="default" w:ascii="Times New Roman" w:hAnsi="Times New Roman" w:cs="Times New Roman" w:eastAsiaTheme="minorEastAsia"/>
                <w:kern w:val="2"/>
                <w:sz w:val="21"/>
                <w:szCs w:val="21"/>
                <w:lang w:val="en-US" w:eastAsia="zh-CN" w:bidi="ar-SA"/>
              </w:rPr>
            </w:pPr>
            <w:r>
              <w:rPr>
                <w:rFonts w:ascii="Times New Roman" w:hAnsi="Times New Roman" w:cs="Times New Roman"/>
                <w:color w:val="auto"/>
              </w:rPr>
              <w:t>42190219274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82A322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6D7B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DDD35BE">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2E005D2">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周智鑫</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6FE8A3D4">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BB3B64">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eastAsiaTheme="minorEastAsia"/>
                <w:szCs w:val="21"/>
                <w:lang w:val="en-US" w:eastAsia="zh-CN"/>
              </w:rPr>
              <w:t>035980/S011032000110192001446</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4F6D3DD">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szCs w:val="21"/>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E28013B">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3CB29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24E5DBF">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68A9351">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李祥太</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15872B96">
            <w:pPr>
              <w:jc w:val="center"/>
              <w:rPr>
                <w:rFonts w:hint="eastAsia"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93249B4">
            <w:pPr>
              <w:jc w:val="center"/>
              <w:rPr>
                <w:rFonts w:hint="eastAsia"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035985/S011032000110192001139</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7CA2D63">
            <w:pPr>
              <w:jc w:val="center"/>
              <w:rPr>
                <w:rFonts w:hint="default" w:ascii="Times New Roman" w:hAnsi="Times New Roman" w:cs="Times New Roman" w:eastAsiaTheme="minorEastAsia"/>
                <w:szCs w:val="21"/>
                <w:lang w:val="en-US" w:eastAsia="zh-CN"/>
              </w:rPr>
            </w:pPr>
            <w:r>
              <w:rPr>
                <w:rFonts w:hint="eastAsia" w:ascii="Times New Roman" w:hAnsi="Times New Roman" w:cs="Times New Roman" w:eastAsiaTheme="minorEastAsia"/>
                <w:szCs w:val="21"/>
                <w:lang w:val="en-US" w:eastAsia="zh-CN"/>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6796DF7">
            <w:pPr>
              <w:jc w:val="center"/>
              <w:rPr>
                <w:rFonts w:hint="default" w:ascii="Times New Roman" w:hAnsi="Times New Roman" w:cs="Times New Roman" w:eastAsiaTheme="minorEastAsia"/>
                <w:szCs w:val="21"/>
                <w:lang w:val="en-US" w:eastAsia="zh-CN"/>
              </w:rPr>
            </w:pPr>
            <w:r>
              <w:rPr>
                <w:rFonts w:hint="default" w:ascii="Times New Roman" w:hAnsi="Times New Roman" w:cs="Times New Roman" w:eastAsiaTheme="minorEastAsia"/>
                <w:szCs w:val="21"/>
                <w:lang w:val="en-US" w:eastAsia="zh-CN"/>
              </w:rPr>
              <w:t>专职</w:t>
            </w:r>
          </w:p>
        </w:tc>
      </w:tr>
      <w:tr w14:paraId="3204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22363E8">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DD958E7">
            <w:pPr>
              <w:jc w:val="center"/>
              <w:rPr>
                <w:rFonts w:hint="eastAsia" w:ascii="Times New Roman" w:hAnsi="Times New Roman" w:cs="Times New Roman" w:eastAsiaTheme="minorEastAsia"/>
                <w:kern w:val="2"/>
                <w:sz w:val="21"/>
                <w:szCs w:val="21"/>
                <w:lang w:val="en-US" w:eastAsia="zh-CN" w:bidi="ar-SA"/>
              </w:rPr>
            </w:pPr>
            <w:r>
              <w:rPr>
                <w:rFonts w:hint="eastAsia" w:ascii="Times New Roman" w:hAnsi="Times New Roman" w:cs="Times New Roman"/>
                <w:kern w:val="2"/>
                <w:sz w:val="21"/>
                <w:szCs w:val="21"/>
                <w:lang w:val="en-US" w:eastAsia="zh-CN" w:bidi="ar-SA"/>
              </w:rPr>
              <w:t>余海波</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35F09BEB">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szCs w:val="24"/>
                <w:highlight w:val="none"/>
              </w:rPr>
              <w:t>机械</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7B3AB6">
            <w:pPr>
              <w:jc w:val="center"/>
              <w:rPr>
                <w:rFonts w:hint="eastAsia" w:ascii="Times New Roman" w:hAnsi="Times New Roman" w:cs="Times New Roman" w:eastAsiaTheme="minorEastAsia"/>
                <w:kern w:val="2"/>
                <w:sz w:val="21"/>
                <w:szCs w:val="21"/>
                <w:lang w:val="en-US" w:eastAsia="zh-CN" w:bidi="ar-SA"/>
              </w:rPr>
            </w:pPr>
            <w:r>
              <w:rPr>
                <w:rFonts w:ascii="Times New Roman" w:hAnsi="Times New Roman" w:cs="Times New Roman"/>
                <w:color w:val="auto"/>
                <w:szCs w:val="24"/>
                <w:highlight w:val="none"/>
              </w:rPr>
              <w:t>036169</w:t>
            </w:r>
            <w:r>
              <w:rPr>
                <w:rFonts w:hint="eastAsia" w:ascii="Times New Roman" w:hAnsi="Times New Roman" w:cs="Times New Roman"/>
                <w:color w:val="auto"/>
                <w:szCs w:val="24"/>
                <w:highlight w:val="none"/>
                <w:lang w:val="en-US" w:eastAsia="zh-CN"/>
              </w:rPr>
              <w:t>/</w:t>
            </w:r>
            <w:r>
              <w:rPr>
                <w:rFonts w:ascii="Times New Roman" w:hAnsi="Times New Roman" w:cs="Times New Roman"/>
                <w:color w:val="auto"/>
                <w:szCs w:val="24"/>
                <w:highlight w:val="none"/>
              </w:rPr>
              <w:t>S011032000110193001025</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6E5034C0">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97AA8A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776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E0FBCA5">
            <w:pPr>
              <w:rPr>
                <w:rFonts w:ascii="Times New Roman" w:hAnsi="Times New Roman" w:eastAsia="宋体" w:cs="Times New Roman"/>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5C953A8">
            <w:pPr>
              <w:keepNext w:val="0"/>
              <w:keepLines w:val="0"/>
              <w:pageBreakBefore w:val="0"/>
              <w:widowControl w:val="0"/>
              <w:kinsoku/>
              <w:wordWrap/>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邹德新</w:t>
            </w:r>
          </w:p>
        </w:tc>
        <w:tc>
          <w:tcPr>
            <w:tcW w:w="1851" w:type="dxa"/>
            <w:tcBorders>
              <w:top w:val="single" w:color="auto" w:sz="4" w:space="0"/>
              <w:left w:val="single" w:color="auto" w:sz="4" w:space="0"/>
              <w:bottom w:val="single" w:color="auto" w:sz="4" w:space="0"/>
              <w:right w:val="single" w:color="auto" w:sz="4" w:space="0"/>
            </w:tcBorders>
            <w:shd w:val="clear" w:color="auto" w:fill="auto"/>
            <w:vAlign w:val="center"/>
          </w:tcPr>
          <w:p w14:paraId="2C965560">
            <w:pPr>
              <w:keepNext w:val="0"/>
              <w:keepLines w:val="0"/>
              <w:pageBreakBefore w:val="0"/>
              <w:widowControl w:val="0"/>
              <w:kinsoku/>
              <w:wordWrap/>
              <w:topLinePunct w:val="0"/>
              <w:autoSpaceDE/>
              <w:autoSpaceDN/>
              <w:bidi w:val="0"/>
              <w:adjustRightInd w:val="0"/>
              <w:snapToGrid w:val="0"/>
              <w:spacing w:line="240" w:lineRule="auto"/>
              <w:jc w:val="center"/>
              <w:textAlignment w:val="auto"/>
              <w:rPr>
                <w:rFonts w:hint="eastAsia" w:ascii="Times New Roman" w:hAnsi="Times New Roman" w:cs="Times New Roman"/>
                <w:color w:val="auto"/>
                <w:szCs w:val="24"/>
                <w:highlight w:val="none"/>
                <w:lang w:val="en-US" w:eastAsia="zh-CN"/>
              </w:rPr>
            </w:pPr>
            <w:r>
              <w:rPr>
                <w:rFonts w:ascii="Times New Roman" w:hAnsi="Times New Roman" w:cs="Times New Roman"/>
                <w:color w:val="auto"/>
              </w:rPr>
              <w:t>化工工艺</w:t>
            </w:r>
          </w:p>
        </w:tc>
        <w:tc>
          <w:tcPr>
            <w:tcW w:w="260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642424">
            <w:pPr>
              <w:jc w:val="center"/>
              <w:rPr>
                <w:rFonts w:hint="eastAsia" w:ascii="Times New Roman" w:hAnsi="Times New Roman" w:cs="Times New Roman"/>
                <w:color w:val="auto"/>
                <w:szCs w:val="24"/>
                <w:highlight w:val="none"/>
                <w:lang w:val="en-US" w:eastAsia="zh-CN"/>
              </w:rPr>
            </w:pPr>
            <w:r>
              <w:rPr>
                <w:rFonts w:hint="eastAsia" w:ascii="Times New Roman" w:hAnsi="Times New Roman" w:cs="Times New Roman"/>
                <w:color w:val="auto"/>
              </w:rPr>
              <w:t>030941/</w:t>
            </w:r>
            <w:r>
              <w:rPr>
                <w:rFonts w:ascii="Times New Roman" w:hAnsi="Times New Roman" w:cs="Times New Roman"/>
                <w:color w:val="auto"/>
              </w:rPr>
              <w:t>S011032000110191000471</w:t>
            </w:r>
          </w:p>
        </w:tc>
        <w:tc>
          <w:tcPr>
            <w:tcW w:w="1455" w:type="dxa"/>
            <w:tcBorders>
              <w:top w:val="single" w:color="auto" w:sz="4" w:space="0"/>
              <w:left w:val="single" w:color="auto" w:sz="4" w:space="0"/>
              <w:bottom w:val="single" w:color="auto" w:sz="4" w:space="0"/>
              <w:right w:val="single" w:color="auto" w:sz="4" w:space="0"/>
            </w:tcBorders>
            <w:shd w:val="clear" w:color="auto" w:fill="auto"/>
            <w:vAlign w:val="center"/>
          </w:tcPr>
          <w:p w14:paraId="51DA134B">
            <w:pPr>
              <w:jc w:val="center"/>
              <w:rPr>
                <w:rFonts w:hint="default" w:ascii="Times New Roman" w:hAnsi="Times New Roman" w:cs="Times New Roman" w:eastAsiaTheme="minorEastAsia"/>
                <w:kern w:val="2"/>
                <w:sz w:val="21"/>
                <w:szCs w:val="21"/>
                <w:lang w:val="en-US" w:eastAsia="zh-CN" w:bidi="ar-SA"/>
              </w:rPr>
            </w:pPr>
            <w:r>
              <w:rPr>
                <w:rFonts w:hint="eastAsia" w:ascii="Times New Roman" w:hAnsi="Times New Roman" w:cs="Times New Roman"/>
                <w:color w:val="auto"/>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64452A2">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专职</w:t>
            </w:r>
          </w:p>
        </w:tc>
      </w:tr>
      <w:tr w14:paraId="1F46F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23C99E6A">
            <w:pPr>
              <w:adjustRightInd w:val="0"/>
              <w:snapToGrid w:val="0"/>
              <w:jc w:val="center"/>
              <w:rPr>
                <w:rFonts w:ascii="Times New Roman" w:hAnsi="Times New Roman" w:eastAsia="宋体" w:cs="Times New Roman"/>
                <w:szCs w:val="21"/>
              </w:rPr>
            </w:pPr>
            <w:r>
              <w:rPr>
                <w:rFonts w:ascii="Times New Roman" w:hAnsi="Times New Roman" w:eastAsia="宋体" w:cs="Times New Roman"/>
                <w:b/>
                <w:szCs w:val="21"/>
              </w:rPr>
              <w:t>项目简介</w:t>
            </w:r>
          </w:p>
        </w:tc>
      </w:tr>
      <w:tr w14:paraId="1D650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C57AE7F">
            <w:pPr>
              <w:keepNext w:val="0"/>
              <w:keepLines w:val="0"/>
              <w:pageBreakBefore w:val="0"/>
              <w:widowControl w:val="0"/>
              <w:kinsoku/>
              <w:wordWrap/>
              <w:overflowPunct/>
              <w:topLinePunct w:val="0"/>
              <w:autoSpaceDE/>
              <w:autoSpaceDN/>
              <w:bidi w:val="0"/>
              <w:adjustRightInd w:val="0"/>
              <w:snapToGrid w:val="0"/>
              <w:ind w:firstLine="420" w:firstLineChars="200"/>
              <w:jc w:val="both"/>
              <w:textAlignment w:val="auto"/>
              <w:rPr>
                <w:rFonts w:hint="eastAsia"/>
              </w:rPr>
            </w:pPr>
            <w:r>
              <w:rPr>
                <w:rFonts w:hint="eastAsia"/>
              </w:rPr>
              <w:t>宜昌泰坦科技有限公司（简称“宜昌泰坦”）是上海泰坦科技股份有限公司在湖北省宜昌市投资新成立的全资子公司，成立于2021年9月18日。该公司经营范围包括：化工产品生产（不含许可类化工产品）；化工产品销售（不含许可类化工产品）；专用化学产品制造（不含危险化学品）；专用化学产品销售等。</w:t>
            </w:r>
          </w:p>
          <w:p w14:paraId="3C303805">
            <w:pPr>
              <w:keepNext w:val="0"/>
              <w:keepLines w:val="0"/>
              <w:pageBreakBefore w:val="0"/>
              <w:widowControl w:val="0"/>
              <w:kinsoku/>
              <w:wordWrap/>
              <w:overflowPunct/>
              <w:topLinePunct w:val="0"/>
              <w:autoSpaceDE/>
              <w:autoSpaceDN/>
              <w:bidi w:val="0"/>
              <w:adjustRightInd w:val="0"/>
              <w:snapToGrid w:val="0"/>
              <w:ind w:firstLine="420" w:firstLineChars="200"/>
              <w:jc w:val="both"/>
              <w:textAlignment w:val="auto"/>
              <w:rPr>
                <w:rFonts w:hint="eastAsia"/>
              </w:rPr>
            </w:pPr>
            <w:r>
              <w:rPr>
                <w:rFonts w:hint="eastAsia"/>
              </w:rPr>
              <w:t>宜昌泰坦科技有限公司高端科研试剂研发生产项目共分为两期，一期主要为外购试剂的储存和经营业务，一期项目已于2024年11月进行了安全验收工作，目前已正式运行储存和经营业务。二期项目为本项目，实际主要建设内容包括34700吨/年试剂分装，2000吨/年试剂复配，4985吨/年精馏试剂，14.2吨/年医药中间体，实验耗材生产基地以及科研楼、储罐区及公用工程。其中原设计为35000吨/年试剂分装，因柔性车间三层年分装300吨小剂量固液分装线/（51个通风橱）暂未建设；原设计为洁净车间年产200吨生物培养基生产线实际未建设，上述装置均不纳入本次验收范围，后续该装置应根据安全设施设计的要求建成后按规范要求进行安全设施竣工验收。原设计为5000吨/年精馏试剂，设计变更取消纯化车间5#精馏塔釜W3-R0501精馏四氢呋喃15t/a的生产工艺。</w:t>
            </w:r>
          </w:p>
        </w:tc>
      </w:tr>
      <w:tr w14:paraId="08063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1312D7F">
            <w:pPr>
              <w:pStyle w:val="6"/>
              <w:adjustRightInd w:val="0"/>
              <w:snapToGrid w:val="0"/>
              <w:spacing w:beforeAutospacing="0" w:afterAutospacing="0"/>
              <w:jc w:val="center"/>
              <w:rPr>
                <w:rFonts w:hint="default" w:ascii="Times New Roman" w:hAnsi="Times New Roman"/>
                <w:bCs/>
                <w:kern w:val="2"/>
                <w:sz w:val="21"/>
                <w:szCs w:val="21"/>
              </w:rPr>
            </w:pPr>
            <w:r>
              <w:rPr>
                <w:rFonts w:hint="default" w:ascii="Times New Roman" w:hAnsi="Times New Roman"/>
                <w:b/>
                <w:kern w:val="2"/>
                <w:sz w:val="21"/>
                <w:szCs w:val="21"/>
              </w:rPr>
              <w:t>现场开展工作情况</w:t>
            </w:r>
          </w:p>
        </w:tc>
      </w:tr>
      <w:tr w14:paraId="500DE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632AD5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809D87A">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鲁小芳、王海波</w:t>
            </w:r>
          </w:p>
        </w:tc>
      </w:tr>
      <w:tr w14:paraId="2B36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6699135">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5B3D4A6">
            <w:pPr>
              <w:adjustRightInd w:val="0"/>
              <w:snapToGrid w:val="0"/>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highlight w:val="none"/>
                <w:lang w:val="en-US" w:eastAsia="zh-CN"/>
              </w:rPr>
              <w:t>首次勘察2025.11.26  复查2026.12.15</w:t>
            </w:r>
          </w:p>
        </w:tc>
      </w:tr>
      <w:tr w14:paraId="3DF08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7B3307F">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29171C3">
            <w:pPr>
              <w:adjustRightInd w:val="0"/>
              <w:snapToGrid w:val="0"/>
              <w:jc w:val="center"/>
              <w:rPr>
                <w:rFonts w:ascii="Times New Roman" w:hAnsi="Times New Roman" w:eastAsia="宋体" w:cs="Times New Roman"/>
                <w:b/>
                <w:szCs w:val="21"/>
              </w:rPr>
            </w:pPr>
            <w:r>
              <w:rPr>
                <w:rFonts w:ascii="Times New Roman" w:hAnsi="Times New Roman" w:cs="Times New Roman"/>
                <w:szCs w:val="21"/>
              </w:rPr>
              <w:t>现场勘查、收集并核实业主单位提供的安全评价相关资料</w:t>
            </w:r>
          </w:p>
        </w:tc>
      </w:tr>
      <w:tr w14:paraId="6314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AC094AB">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勘察中发</w:t>
            </w:r>
          </w:p>
          <w:p w14:paraId="04B59020">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2763CD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w:t>
            </w:r>
            <w:r>
              <w:rPr>
                <w:rFonts w:hint="default" w:ascii="宋体" w:hAnsi="宋体" w:eastAsia="宋体" w:cs="宋体"/>
                <w:kern w:val="0"/>
                <w:sz w:val="21"/>
                <w:szCs w:val="21"/>
                <w:lang w:val="en-US" w:eastAsia="zh-CN" w:bidi="ar"/>
              </w:rPr>
              <w:t>罐组2V210202储罐旁冷凝器的法兰连接紧固件缺失，连接螺栓未上全，其存在明显松动迹象；临时非金属胶管使用不规范，未及时拆除。</w:t>
            </w:r>
          </w:p>
          <w:p w14:paraId="05B436B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w:t>
            </w:r>
            <w:r>
              <w:rPr>
                <w:rFonts w:hint="default" w:ascii="宋体" w:hAnsi="宋体" w:eastAsia="宋体" w:cs="宋体"/>
                <w:kern w:val="0"/>
                <w:sz w:val="21"/>
                <w:szCs w:val="21"/>
                <w:lang w:val="en-US" w:eastAsia="zh-CN" w:bidi="ar"/>
              </w:rPr>
              <w:t>核对罐区SIS的联锁值与联锁动作，SIS画面显示的联锁值用百分比显示，但换算之后的联锁值仍与设计不一致（包括高高液位及低低液位联锁值）；纯化车间精馏工段SIS联锁中部分温度、压力联锁值与设计不一致。</w:t>
            </w:r>
          </w:p>
          <w:p w14:paraId="0962555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3.</w:t>
            </w:r>
            <w:r>
              <w:rPr>
                <w:rFonts w:hint="default" w:ascii="宋体" w:hAnsi="宋体" w:eastAsia="宋体" w:cs="宋体"/>
                <w:kern w:val="0"/>
                <w:sz w:val="21"/>
                <w:szCs w:val="21"/>
                <w:lang w:val="en-US" w:eastAsia="zh-CN" w:bidi="ar"/>
              </w:rPr>
              <w:t>核对装置DCS联锁值及联锁动作，分装合成车间中部分液位、温度联锁值与设计不一致，联锁动作中切断阀的位号不一致，且反应釜（W2R0201A）温度高高联锁加大冷却液流量，实际与设计不一致；分装复配车间仪表位号、联锁动作阀门位号与设计不一致；柔性车间设计中有低液位联锁值及联锁动作控制阀门开启，但实际未设置；纯化车间、合成车间、罐区部分联锁值、联锁动作与设计不一致。</w:t>
            </w:r>
          </w:p>
          <w:p w14:paraId="40EC19B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4.</w:t>
            </w:r>
            <w:r>
              <w:rPr>
                <w:rFonts w:hint="default" w:ascii="宋体" w:hAnsi="宋体" w:eastAsia="宋体" w:cs="宋体"/>
                <w:kern w:val="0"/>
                <w:sz w:val="21"/>
                <w:szCs w:val="21"/>
                <w:lang w:val="en-US" w:eastAsia="zh-CN" w:bidi="ar"/>
              </w:rPr>
              <w:t>根据《安全设施设计变更说明》，企业对罐组1的物料进行了变更，但现场勘察时，SIS系统的物料储罐联锁名称未变更；现场物料储罐、泵的名称及重大危险源物料告知牌等均未变更。其他变更如甲类罐区增加1个总的急停按钮、罐区由槽车经泵进入分装合成车间罐装吨桶的8个泵增加回流管线、罐区和车间GDS设置的变更等暂未完成。</w:t>
            </w:r>
          </w:p>
          <w:p w14:paraId="659F3DD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5.</w:t>
            </w:r>
            <w:r>
              <w:rPr>
                <w:rFonts w:hint="default" w:ascii="宋体" w:hAnsi="宋体" w:eastAsia="宋体" w:cs="宋体"/>
                <w:kern w:val="0"/>
                <w:sz w:val="21"/>
                <w:szCs w:val="21"/>
                <w:lang w:val="en-US" w:eastAsia="zh-CN" w:bidi="ar"/>
              </w:rPr>
              <w:t>泡沫站内一处压力表超期未检。</w:t>
            </w:r>
          </w:p>
          <w:p w14:paraId="30FE26E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6.</w:t>
            </w:r>
            <w:r>
              <w:rPr>
                <w:rFonts w:hint="default" w:ascii="宋体" w:hAnsi="宋体" w:eastAsia="宋体" w:cs="宋体"/>
                <w:kern w:val="0"/>
                <w:sz w:val="21"/>
                <w:szCs w:val="21"/>
                <w:lang w:val="en-US" w:eastAsia="zh-CN" w:bidi="ar"/>
              </w:rPr>
              <w:t>核对合成车间设计PID图：1.配制釜W4R402缺液位计；2.接收罐W4V303真空压力调节联锁无；3.成品罐W4V203尾气区抽真空压力调节联锁无；4.XVW4E301A/XVW4E301C互开无；5.液封罐W4V202DCS上名称为母液中间罐。</w:t>
            </w:r>
          </w:p>
          <w:p w14:paraId="1034E6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7.</w:t>
            </w:r>
            <w:r>
              <w:rPr>
                <w:rFonts w:hint="default" w:ascii="宋体" w:hAnsi="宋体" w:eastAsia="宋体" w:cs="宋体"/>
                <w:kern w:val="0"/>
                <w:sz w:val="21"/>
                <w:szCs w:val="21"/>
                <w:lang w:val="en-US" w:eastAsia="zh-CN" w:bidi="ar"/>
              </w:rPr>
              <w:t>核对合成车间设备布置图：1.12.7m平台缺少一台离心机，新增两台泵；2.7.7m平台，W4P201泵位置改变、缺少四台离心机和一台真空系统；3.17.7m平台W4V301滴加罐缺一台GT-63351有毒气体检测仪（氨气）；4.12.7m平台现场多一台GT-63351有毒气体检测仪（氨气）。</w:t>
            </w:r>
          </w:p>
          <w:p w14:paraId="3566B29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8.</w:t>
            </w:r>
            <w:r>
              <w:rPr>
                <w:rFonts w:hint="default" w:ascii="宋体" w:hAnsi="宋体" w:eastAsia="宋体" w:cs="宋体"/>
                <w:kern w:val="0"/>
                <w:sz w:val="21"/>
                <w:szCs w:val="21"/>
                <w:lang w:val="en-US" w:eastAsia="zh-CN" w:bidi="ar"/>
              </w:rPr>
              <w:t>核对公用工程设计PID图：1.蒸汽系统蒸汽气动调节阀PV0052联锁无；2.蒸汽凝液去废水热水调节阀联锁无；3.PR-C0053一PIC-0053联锁无；4.DCS界面制氮系统缺少V3102\V3103（仪表空气贮罐、压缩空气贮罐）；5.新增低温水平衡调节阀PIC-3002。</w:t>
            </w:r>
          </w:p>
          <w:p w14:paraId="67BDD7F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9.</w:t>
            </w:r>
            <w:r>
              <w:rPr>
                <w:rFonts w:hint="default" w:ascii="宋体" w:hAnsi="宋体" w:eastAsia="宋体" w:cs="宋体"/>
                <w:kern w:val="0"/>
                <w:sz w:val="21"/>
                <w:szCs w:val="21"/>
                <w:lang w:val="en-US" w:eastAsia="zh-CN" w:bidi="ar"/>
              </w:rPr>
              <w:t>核对分装复配车间PID图：去分装机的料仓液位联锁均未设置。</w:t>
            </w:r>
          </w:p>
          <w:p w14:paraId="4131642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10.</w:t>
            </w:r>
            <w:r>
              <w:rPr>
                <w:rFonts w:hint="default" w:ascii="宋体" w:hAnsi="宋体" w:eastAsia="宋体" w:cs="宋体"/>
                <w:kern w:val="0"/>
                <w:sz w:val="21"/>
                <w:szCs w:val="21"/>
                <w:lang w:val="en-US" w:eastAsia="zh-CN" w:bidi="ar"/>
              </w:rPr>
              <w:t>柔性车间一层布置有两台成型机，专篇设备布置图中未见，但专篇正文中描述有布置2台吹塑机。</w:t>
            </w:r>
          </w:p>
          <w:p w14:paraId="003DEED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11.</w:t>
            </w:r>
            <w:r>
              <w:rPr>
                <w:rFonts w:hint="default" w:ascii="宋体" w:hAnsi="宋体" w:eastAsia="宋体" w:cs="宋体"/>
                <w:kern w:val="0"/>
                <w:sz w:val="21"/>
                <w:szCs w:val="21"/>
                <w:lang w:val="en-US" w:eastAsia="zh-CN" w:bidi="ar"/>
              </w:rPr>
              <w:t>PID图纸21032-5-62-PR03-02/1，1#萃取釜W2R0202A液位计原设计应具有远传显示监控和报警联锁功能，高高液位时联锁停气动隔膜泵W2P0218A，现场实际设置采用音叉液位计，仅根据开关量实现联锁功能，无远传显示监控和报警功能。（2#萃取釜W2R0203A、反应釜W2R0201B、1#萃取釜W2R0202B、2#萃取釜W2R0203B、1#萃取釜W2R0202C、2#萃取釜W2R0203C、反应釜W2R0201C同样情况）</w:t>
            </w:r>
          </w:p>
          <w:p w14:paraId="3341F9C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12.</w:t>
            </w:r>
            <w:r>
              <w:rPr>
                <w:rFonts w:hint="default" w:ascii="宋体" w:hAnsi="宋体" w:eastAsia="宋体" w:cs="宋体"/>
                <w:kern w:val="0"/>
                <w:sz w:val="21"/>
                <w:szCs w:val="21"/>
                <w:lang w:val="en-US" w:eastAsia="zh-CN" w:bidi="ar"/>
              </w:rPr>
              <w:t>PID图纸21032-5-62-PR03-02/1水相槽W2V0204A、水相槽W2V0205A、水相槽W2V0206A液位原设计应设置高低液位报警，现场均未设置。</w:t>
            </w:r>
          </w:p>
          <w:p w14:paraId="65CDB83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13.</w:t>
            </w:r>
            <w:r>
              <w:rPr>
                <w:rFonts w:hint="default" w:ascii="宋体" w:hAnsi="宋体" w:eastAsia="宋体" w:cs="宋体"/>
                <w:kern w:val="0"/>
                <w:sz w:val="21"/>
                <w:szCs w:val="21"/>
                <w:lang w:val="en-US" w:eastAsia="zh-CN" w:bidi="ar"/>
              </w:rPr>
              <w:t>PID图纸21032-5-62-PR03-11/0，是石油醚每股进分装机管线均设有切断阀，DCS中所有流股公用一根主料管及切断阀，需核实，并建议修改DCS画面。</w:t>
            </w:r>
          </w:p>
          <w:p w14:paraId="3DD7824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14.</w:t>
            </w:r>
            <w:r>
              <w:rPr>
                <w:rFonts w:hint="default" w:ascii="宋体" w:hAnsi="宋体" w:eastAsia="宋体" w:cs="宋体"/>
                <w:kern w:val="0"/>
                <w:sz w:val="21"/>
                <w:szCs w:val="21"/>
                <w:lang w:val="en-US" w:eastAsia="zh-CN" w:bidi="ar"/>
              </w:rPr>
              <w:t>PID图纸21032-5-65-0-PR03-06/0，W3-R0601 6#精馏塔釜进料原设计有二甲基亚砜、1,4-二氧六环两种原料，DCS画面中进料仅二甲基亚砜一种物料，需核实。</w:t>
            </w:r>
          </w:p>
          <w:p w14:paraId="6756D59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15.</w:t>
            </w:r>
            <w:r>
              <w:rPr>
                <w:rFonts w:hint="default" w:ascii="宋体" w:hAnsi="宋体" w:eastAsia="宋体" w:cs="宋体"/>
                <w:kern w:val="0"/>
                <w:sz w:val="21"/>
                <w:szCs w:val="21"/>
                <w:lang w:val="en-US" w:eastAsia="zh-CN" w:bidi="ar"/>
              </w:rPr>
              <w:t>PID图纸21032-5-65-1-PR03-02/0，W3-V1201 2#吸附原料中间槽原设计进料物质为1,2-二氯乙烷，DCS画面中进料为MSO，需核实（吸附多张画面进料物质均描述为MSO）；DCS画面中所有设备名称均为1#XXX，实际为2#XXX。</w:t>
            </w:r>
          </w:p>
          <w:p w14:paraId="084CBF4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16.</w:t>
            </w:r>
            <w:r>
              <w:rPr>
                <w:rFonts w:hint="default" w:ascii="宋体" w:hAnsi="宋体" w:eastAsia="宋体" w:cs="宋体"/>
                <w:kern w:val="0"/>
                <w:sz w:val="21"/>
                <w:szCs w:val="21"/>
                <w:lang w:val="en-US" w:eastAsia="zh-CN" w:bidi="ar"/>
              </w:rPr>
              <w:t>PID图纸21032-5-65-1-PR03-06/0，W3-T1601A/B 6#吸附塔（PID图纸21032-5-65-1-PR03-07/0，W3-T1701A/B 7#吸附塔）塔釜出料原设计为去5#吸附塔顶冷凝器气相管道，DCS画面中为去2#，需核实。</w:t>
            </w:r>
          </w:p>
          <w:p w14:paraId="01B4AD6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17.</w:t>
            </w:r>
            <w:r>
              <w:rPr>
                <w:rFonts w:hint="default" w:ascii="宋体" w:hAnsi="宋体" w:eastAsia="宋体" w:cs="宋体"/>
                <w:kern w:val="0"/>
                <w:sz w:val="21"/>
                <w:szCs w:val="21"/>
                <w:lang w:val="en-US" w:eastAsia="zh-CN" w:bidi="ar"/>
              </w:rPr>
              <w:t>PID图纸21032-5-65-1-PR03-06/0，W3-V1603 6#吸附成品中间槽（PID图纸21032-5-65-1-PR03-07/0，W3-V1703 7#吸附成品中间槽）原设计出料流程为N-甲基吡硌烷酮、吡啶、三乙胺去分装站二，DCS画面中描述为来自氮气缓冲罐W3-V3201，需核实修改。</w:t>
            </w:r>
          </w:p>
          <w:p w14:paraId="39EDEF1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18.</w:t>
            </w:r>
            <w:r>
              <w:rPr>
                <w:rFonts w:hint="default" w:ascii="宋体" w:hAnsi="宋体" w:eastAsia="宋体" w:cs="宋体"/>
                <w:kern w:val="0"/>
                <w:sz w:val="21"/>
                <w:szCs w:val="21"/>
                <w:lang w:val="en-US" w:eastAsia="zh-CN" w:bidi="ar"/>
              </w:rPr>
              <w:t>设备布置图21032-5-62-PL05-04/0分装合成车间EL+13.500m平面，硫代硫酸钠溶液滴加阀南侧新增一台蒸汽冷凝器W2E0202C。</w:t>
            </w:r>
          </w:p>
          <w:p w14:paraId="6A5A91E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19.</w:t>
            </w:r>
            <w:r>
              <w:rPr>
                <w:rFonts w:hint="default" w:ascii="宋体" w:hAnsi="宋体" w:eastAsia="宋体" w:cs="宋体"/>
                <w:kern w:val="0"/>
                <w:sz w:val="21"/>
                <w:szCs w:val="21"/>
                <w:lang w:val="en-US" w:eastAsia="zh-CN" w:bidi="ar"/>
              </w:rPr>
              <w:t>设备布置图21032-5-62-PL05-04/0分装合成车间EL+13.500m平面西侧外部走廊设有三套真空机组，设备布置图中未见。</w:t>
            </w:r>
          </w:p>
          <w:p w14:paraId="27CC4C4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20.</w:t>
            </w:r>
            <w:r>
              <w:rPr>
                <w:rFonts w:hint="default" w:ascii="宋体" w:hAnsi="宋体" w:eastAsia="宋体" w:cs="宋体"/>
                <w:kern w:val="0"/>
                <w:sz w:val="21"/>
                <w:szCs w:val="21"/>
                <w:lang w:val="en-US" w:eastAsia="zh-CN" w:bidi="ar"/>
              </w:rPr>
              <w:t>设备布置图21032-5-62-PL05-05/0分装合成车间EL+16.200m平面，双锥干燥机W2D0202接线盒未安装。</w:t>
            </w:r>
          </w:p>
          <w:p w14:paraId="51DECF0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21.</w:t>
            </w:r>
            <w:r>
              <w:rPr>
                <w:rFonts w:hint="default" w:ascii="宋体" w:hAnsi="宋体" w:eastAsia="宋体" w:cs="宋体"/>
                <w:kern w:val="0"/>
                <w:sz w:val="21"/>
                <w:szCs w:val="21"/>
                <w:lang w:val="en-US" w:eastAsia="zh-CN" w:bidi="ar"/>
              </w:rPr>
              <w:t>设备布置图21032-5-62-PL05-05/0分装合成车间EL+16.200m平面，粉碎包装间、成品暂存间安全出口设置位置与设计不一致。</w:t>
            </w:r>
          </w:p>
          <w:p w14:paraId="52AF0D0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22.</w:t>
            </w:r>
            <w:r>
              <w:rPr>
                <w:rFonts w:hint="default" w:ascii="宋体" w:hAnsi="宋体" w:eastAsia="宋体" w:cs="宋体"/>
                <w:kern w:val="0"/>
                <w:sz w:val="21"/>
                <w:szCs w:val="21"/>
                <w:lang w:val="en-US" w:eastAsia="zh-CN" w:bidi="ar"/>
              </w:rPr>
              <w:t>厂区部分车间常闭式防火门处于开启状态，导致频繁警报。</w:t>
            </w:r>
          </w:p>
          <w:p w14:paraId="74B2712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t>23.</w:t>
            </w:r>
            <w:r>
              <w:rPr>
                <w:rFonts w:hint="default" w:ascii="宋体" w:hAnsi="宋体" w:eastAsia="宋体" w:cs="宋体"/>
                <w:kern w:val="0"/>
                <w:sz w:val="21"/>
                <w:szCs w:val="21"/>
                <w:lang w:val="en-US" w:eastAsia="zh-CN" w:bidi="ar"/>
              </w:rPr>
              <w:t>核对设计总图与现场实际，泡沫站东侧新增了2处活动板房，与设计总图不一致。</w:t>
            </w:r>
          </w:p>
        </w:tc>
      </w:tr>
      <w:tr w14:paraId="058C2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0C37A49">
            <w:pPr>
              <w:adjustRightInd w:val="0"/>
              <w:snapToGrid w:val="0"/>
              <w:jc w:val="center"/>
              <w:rPr>
                <w:rFonts w:ascii="Times New Roman" w:hAnsi="Times New Roman" w:eastAsia="宋体" w:cs="Times New Roman"/>
                <w:b/>
                <w:szCs w:val="21"/>
              </w:rPr>
            </w:pPr>
            <w:r>
              <w:rPr>
                <w:rFonts w:ascii="Times New Roman" w:hAnsi="Times New Roman" w:eastAsia="宋体" w:cs="Times New Roman"/>
                <w:b/>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82CFB96">
            <w:pPr>
              <w:bidi w:val="0"/>
              <w:rPr>
                <w:rFonts w:hint="eastAsia"/>
                <w:lang w:val="en-US" w:eastAsia="zh-CN"/>
              </w:rPr>
            </w:pPr>
            <w:r>
              <w:rPr>
                <w:rFonts w:hint="eastAsia" w:eastAsia="宋体"/>
                <w:color w:val="auto"/>
                <w:highlight w:val="none"/>
                <w:lang w:eastAsia="zh-CN"/>
              </w:rPr>
              <w:drawing>
                <wp:inline distT="0" distB="0" distL="114300" distR="114300">
                  <wp:extent cx="2506980" cy="2609850"/>
                  <wp:effectExtent l="0" t="0" r="7620" b="0"/>
                  <wp:docPr id="19" name="图片 19" descr="2ee11384079b37b5c3b271f814ee6f9b"/>
                  <wp:cNvGraphicFramePr/>
                  <a:graphic xmlns:a="http://schemas.openxmlformats.org/drawingml/2006/main">
                    <a:graphicData uri="http://schemas.openxmlformats.org/drawingml/2006/picture">
                      <pic:pic xmlns:pic="http://schemas.openxmlformats.org/drawingml/2006/picture">
                        <pic:nvPicPr>
                          <pic:cNvPr id="19" name="图片 19" descr="2ee11384079b37b5c3b271f814ee6f9b"/>
                          <pic:cNvPicPr/>
                        </pic:nvPicPr>
                        <pic:blipFill>
                          <a:blip r:embed="rId4"/>
                          <a:stretch>
                            <a:fillRect/>
                          </a:stretch>
                        </pic:blipFill>
                        <pic:spPr>
                          <a:xfrm>
                            <a:off x="0" y="0"/>
                            <a:ext cx="2506980" cy="2609850"/>
                          </a:xfrm>
                          <a:prstGeom prst="rect">
                            <a:avLst/>
                          </a:prstGeom>
                        </pic:spPr>
                      </pic:pic>
                    </a:graphicData>
                  </a:graphic>
                </wp:inline>
              </w:drawing>
            </w:r>
            <w:r>
              <w:rPr>
                <w:rFonts w:hint="eastAsia" w:eastAsia="宋体"/>
                <w:color w:val="auto"/>
                <w:highlight w:val="none"/>
                <w:lang w:eastAsia="zh-CN"/>
              </w:rPr>
              <w:drawing>
                <wp:inline distT="0" distB="0" distL="114300" distR="114300">
                  <wp:extent cx="2585720" cy="2459990"/>
                  <wp:effectExtent l="0" t="0" r="5080" b="16510"/>
                  <wp:docPr id="73" name="图片 66" descr="2fc313da82dd456b2c58bdf52125d96f"/>
                  <wp:cNvGraphicFramePr/>
                  <a:graphic xmlns:a="http://schemas.openxmlformats.org/drawingml/2006/main">
                    <a:graphicData uri="http://schemas.openxmlformats.org/drawingml/2006/picture">
                      <pic:pic xmlns:pic="http://schemas.openxmlformats.org/drawingml/2006/picture">
                        <pic:nvPicPr>
                          <pic:cNvPr id="73" name="图片 66" descr="2fc313da82dd456b2c58bdf52125d96f"/>
                          <pic:cNvPicPr/>
                        </pic:nvPicPr>
                        <pic:blipFill>
                          <a:blip r:embed="rId5"/>
                          <a:stretch>
                            <a:fillRect/>
                          </a:stretch>
                        </pic:blipFill>
                        <pic:spPr>
                          <a:xfrm>
                            <a:off x="0" y="0"/>
                            <a:ext cx="2585720" cy="2459990"/>
                          </a:xfrm>
                          <a:prstGeom prst="rect">
                            <a:avLst/>
                          </a:prstGeom>
                          <a:noFill/>
                          <a:ln>
                            <a:noFill/>
                          </a:ln>
                        </pic:spPr>
                      </pic:pic>
                    </a:graphicData>
                  </a:graphic>
                </wp:inline>
              </w:drawing>
            </w:r>
            <w:r>
              <w:rPr>
                <w:rFonts w:hint="default"/>
                <w:color w:val="auto"/>
                <w:highlight w:val="none"/>
                <w:lang w:val="en-US" w:eastAsia="zh-CN"/>
              </w:rPr>
              <w:drawing>
                <wp:inline distT="0" distB="0" distL="114300" distR="114300">
                  <wp:extent cx="2578735" cy="2258060"/>
                  <wp:effectExtent l="0" t="0" r="12065" b="8890"/>
                  <wp:docPr id="23" name="图片 23" descr="222bbfbd7a89015ccbe556879e658d24"/>
                  <wp:cNvGraphicFramePr/>
                  <a:graphic xmlns:a="http://schemas.openxmlformats.org/drawingml/2006/main">
                    <a:graphicData uri="http://schemas.openxmlformats.org/drawingml/2006/picture">
                      <pic:pic xmlns:pic="http://schemas.openxmlformats.org/drawingml/2006/picture">
                        <pic:nvPicPr>
                          <pic:cNvPr id="23" name="图片 23" descr="222bbfbd7a89015ccbe556879e658d24"/>
                          <pic:cNvPicPr/>
                        </pic:nvPicPr>
                        <pic:blipFill>
                          <a:blip r:embed="rId6"/>
                          <a:srcRect b="42979"/>
                          <a:stretch>
                            <a:fillRect/>
                          </a:stretch>
                        </pic:blipFill>
                        <pic:spPr>
                          <a:xfrm>
                            <a:off x="0" y="0"/>
                            <a:ext cx="2578735" cy="2258060"/>
                          </a:xfrm>
                          <a:prstGeom prst="rect">
                            <a:avLst/>
                          </a:prstGeom>
                        </pic:spPr>
                      </pic:pic>
                    </a:graphicData>
                  </a:graphic>
                </wp:inline>
              </w:drawing>
            </w:r>
            <w:r>
              <w:rPr>
                <w:rFonts w:hint="eastAsia"/>
                <w:color w:val="auto"/>
                <w:highlight w:val="none"/>
                <w:lang w:val="en-US" w:eastAsia="zh-CN"/>
              </w:rPr>
              <w:drawing>
                <wp:inline distT="0" distB="0" distL="114300" distR="114300">
                  <wp:extent cx="2451735" cy="2037080"/>
                  <wp:effectExtent l="0" t="0" r="5715" b="1270"/>
                  <wp:docPr id="24" name="图片 24" descr="b891871471539dcd7463dc57afc1c3bc"/>
                  <wp:cNvGraphicFramePr/>
                  <a:graphic xmlns:a="http://schemas.openxmlformats.org/drawingml/2006/main">
                    <a:graphicData uri="http://schemas.openxmlformats.org/drawingml/2006/picture">
                      <pic:pic xmlns:pic="http://schemas.openxmlformats.org/drawingml/2006/picture">
                        <pic:nvPicPr>
                          <pic:cNvPr id="24" name="图片 24" descr="b891871471539dcd7463dc57afc1c3bc"/>
                          <pic:cNvPicPr/>
                        </pic:nvPicPr>
                        <pic:blipFill>
                          <a:blip r:embed="rId7"/>
                          <a:stretch>
                            <a:fillRect/>
                          </a:stretch>
                        </pic:blipFill>
                        <pic:spPr>
                          <a:xfrm>
                            <a:off x="0" y="0"/>
                            <a:ext cx="2451735" cy="2037080"/>
                          </a:xfrm>
                          <a:prstGeom prst="rect">
                            <a:avLst/>
                          </a:prstGeom>
                        </pic:spPr>
                      </pic:pic>
                    </a:graphicData>
                  </a:graphic>
                </wp:inline>
              </w:drawing>
            </w:r>
            <w:r>
              <w:rPr>
                <w:rFonts w:hint="eastAsia" w:eastAsia="宋体"/>
                <w:color w:val="auto"/>
                <w:highlight w:val="none"/>
                <w:lang w:eastAsia="zh-CN"/>
              </w:rPr>
              <w:drawing>
                <wp:inline distT="0" distB="0" distL="114300" distR="114300">
                  <wp:extent cx="2553970" cy="2522855"/>
                  <wp:effectExtent l="0" t="0" r="17780" b="10795"/>
                  <wp:docPr id="22" name="图片 22" descr="0245be7f2855b9b63ea2083fa1592b5b"/>
                  <wp:cNvGraphicFramePr/>
                  <a:graphic xmlns:a="http://schemas.openxmlformats.org/drawingml/2006/main">
                    <a:graphicData uri="http://schemas.openxmlformats.org/drawingml/2006/picture">
                      <pic:pic xmlns:pic="http://schemas.openxmlformats.org/drawingml/2006/picture">
                        <pic:nvPicPr>
                          <pic:cNvPr id="22" name="图片 22" descr="0245be7f2855b9b63ea2083fa1592b5b"/>
                          <pic:cNvPicPr/>
                        </pic:nvPicPr>
                        <pic:blipFill>
                          <a:blip r:embed="rId8"/>
                          <a:stretch>
                            <a:fillRect/>
                          </a:stretch>
                        </pic:blipFill>
                        <pic:spPr>
                          <a:xfrm>
                            <a:off x="0" y="0"/>
                            <a:ext cx="2553970" cy="2522855"/>
                          </a:xfrm>
                          <a:prstGeom prst="rect">
                            <a:avLst/>
                          </a:prstGeom>
                        </pic:spPr>
                      </pic:pic>
                    </a:graphicData>
                  </a:graphic>
                </wp:inline>
              </w:drawing>
            </w:r>
            <w:r>
              <w:rPr>
                <w:rFonts w:hint="eastAsia" w:eastAsia="宋体"/>
                <w:color w:val="auto"/>
                <w:highlight w:val="none"/>
                <w:lang w:val="en-US" w:eastAsia="zh-CN"/>
              </w:rPr>
              <w:t xml:space="preserve">    </w:t>
            </w:r>
            <w:bookmarkStart w:id="0" w:name="_GoBack"/>
            <w:r>
              <w:rPr>
                <w:rFonts w:hint="eastAsia"/>
                <w:lang w:val="en-US" w:eastAsia="zh-CN"/>
              </w:rPr>
              <w:drawing>
                <wp:inline distT="0" distB="0" distL="114300" distR="114300">
                  <wp:extent cx="2408555" cy="2522220"/>
                  <wp:effectExtent l="0" t="0" r="10795" b="11430"/>
                  <wp:docPr id="3" name="图片 3" descr="44b97bddaa9b357ba36832d2480d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4b97bddaa9b357ba36832d2480d7035"/>
                          <pic:cNvPicPr>
                            <a:picLocks noChangeAspect="1"/>
                          </pic:cNvPicPr>
                        </pic:nvPicPr>
                        <pic:blipFill>
                          <a:blip r:embed="rId9"/>
                          <a:stretch>
                            <a:fillRect/>
                          </a:stretch>
                        </pic:blipFill>
                        <pic:spPr>
                          <a:xfrm>
                            <a:off x="0" y="0"/>
                            <a:ext cx="2408555" cy="2522220"/>
                          </a:xfrm>
                          <a:prstGeom prst="rect">
                            <a:avLst/>
                          </a:prstGeom>
                        </pic:spPr>
                      </pic:pic>
                    </a:graphicData>
                  </a:graphic>
                </wp:inline>
              </w:drawing>
            </w:r>
            <w:bookmarkEnd w:id="0"/>
          </w:p>
        </w:tc>
      </w:tr>
    </w:tbl>
    <w:p w14:paraId="4D5A7533"/>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mE5MjA2NTc2MmMwNzRhMTQzMTVkYzI3YThmZWIzZTcifQ=="/>
  </w:docVars>
  <w:rsids>
    <w:rsidRoot w:val="00C32FF9"/>
    <w:rsid w:val="00035D91"/>
    <w:rsid w:val="0006644B"/>
    <w:rsid w:val="0007789C"/>
    <w:rsid w:val="0008447B"/>
    <w:rsid w:val="000C019E"/>
    <w:rsid w:val="000F0D1F"/>
    <w:rsid w:val="001A2140"/>
    <w:rsid w:val="00216717"/>
    <w:rsid w:val="002252BB"/>
    <w:rsid w:val="002452E5"/>
    <w:rsid w:val="00260342"/>
    <w:rsid w:val="002836F3"/>
    <w:rsid w:val="003306E1"/>
    <w:rsid w:val="0033323F"/>
    <w:rsid w:val="00333C8D"/>
    <w:rsid w:val="00363F20"/>
    <w:rsid w:val="003A4866"/>
    <w:rsid w:val="003C11AC"/>
    <w:rsid w:val="00441ECF"/>
    <w:rsid w:val="00443F57"/>
    <w:rsid w:val="004552F3"/>
    <w:rsid w:val="00472297"/>
    <w:rsid w:val="004D16FD"/>
    <w:rsid w:val="004E3860"/>
    <w:rsid w:val="00503B5C"/>
    <w:rsid w:val="00511CC8"/>
    <w:rsid w:val="00522843"/>
    <w:rsid w:val="00562DFB"/>
    <w:rsid w:val="005A2343"/>
    <w:rsid w:val="005E7254"/>
    <w:rsid w:val="005E7707"/>
    <w:rsid w:val="005F3542"/>
    <w:rsid w:val="00602EEA"/>
    <w:rsid w:val="00624703"/>
    <w:rsid w:val="0063569B"/>
    <w:rsid w:val="006C336F"/>
    <w:rsid w:val="006F7F1B"/>
    <w:rsid w:val="007057D1"/>
    <w:rsid w:val="007153A0"/>
    <w:rsid w:val="00721B3F"/>
    <w:rsid w:val="0072260B"/>
    <w:rsid w:val="00754407"/>
    <w:rsid w:val="00762B6B"/>
    <w:rsid w:val="007C40AE"/>
    <w:rsid w:val="0082314C"/>
    <w:rsid w:val="00850D90"/>
    <w:rsid w:val="0088430C"/>
    <w:rsid w:val="008A7027"/>
    <w:rsid w:val="008B6E31"/>
    <w:rsid w:val="008D11A5"/>
    <w:rsid w:val="00930DEA"/>
    <w:rsid w:val="009A0DE0"/>
    <w:rsid w:val="009C52DF"/>
    <w:rsid w:val="00A1528C"/>
    <w:rsid w:val="00A84ACB"/>
    <w:rsid w:val="00AA4740"/>
    <w:rsid w:val="00AC1F21"/>
    <w:rsid w:val="00B25996"/>
    <w:rsid w:val="00B269FD"/>
    <w:rsid w:val="00B6707E"/>
    <w:rsid w:val="00B75E9C"/>
    <w:rsid w:val="00BB7406"/>
    <w:rsid w:val="00BF1A1F"/>
    <w:rsid w:val="00BF1DB1"/>
    <w:rsid w:val="00C2459E"/>
    <w:rsid w:val="00C30872"/>
    <w:rsid w:val="00C32FF9"/>
    <w:rsid w:val="00C42AD8"/>
    <w:rsid w:val="00C457EC"/>
    <w:rsid w:val="00C62E8F"/>
    <w:rsid w:val="00CA77FF"/>
    <w:rsid w:val="00CD410D"/>
    <w:rsid w:val="00D255BC"/>
    <w:rsid w:val="00D42EC0"/>
    <w:rsid w:val="00D54E7F"/>
    <w:rsid w:val="00D85DBF"/>
    <w:rsid w:val="00DC2B70"/>
    <w:rsid w:val="00E0518A"/>
    <w:rsid w:val="00E0520C"/>
    <w:rsid w:val="00E13DF9"/>
    <w:rsid w:val="00E579F5"/>
    <w:rsid w:val="00E950D2"/>
    <w:rsid w:val="00EC685F"/>
    <w:rsid w:val="00EC6932"/>
    <w:rsid w:val="00ED2BA2"/>
    <w:rsid w:val="00F11F3B"/>
    <w:rsid w:val="00F30F60"/>
    <w:rsid w:val="00F31BE4"/>
    <w:rsid w:val="00F34C2B"/>
    <w:rsid w:val="00F54203"/>
    <w:rsid w:val="00F57A83"/>
    <w:rsid w:val="00FA03CB"/>
    <w:rsid w:val="00FB5DDF"/>
    <w:rsid w:val="056E6CB9"/>
    <w:rsid w:val="05E42AA5"/>
    <w:rsid w:val="0CC87E5D"/>
    <w:rsid w:val="0E40580F"/>
    <w:rsid w:val="15922A9A"/>
    <w:rsid w:val="1F2C72EF"/>
    <w:rsid w:val="2CD91527"/>
    <w:rsid w:val="39481A08"/>
    <w:rsid w:val="3998603B"/>
    <w:rsid w:val="3ED218E0"/>
    <w:rsid w:val="4365014E"/>
    <w:rsid w:val="44BC33A0"/>
    <w:rsid w:val="46FE50E4"/>
    <w:rsid w:val="52EF330B"/>
    <w:rsid w:val="596D5608"/>
    <w:rsid w:val="5CB5012F"/>
    <w:rsid w:val="5D244D87"/>
    <w:rsid w:val="628B181E"/>
    <w:rsid w:val="63CE679E"/>
    <w:rsid w:val="6496505F"/>
    <w:rsid w:val="693C1907"/>
    <w:rsid w:val="6A213294"/>
    <w:rsid w:val="6C3C7313"/>
    <w:rsid w:val="71BE335E"/>
    <w:rsid w:val="76B72399"/>
    <w:rsid w:val="787D00C6"/>
    <w:rsid w:val="78A76481"/>
    <w:rsid w:val="7A794689"/>
    <w:rsid w:val="7ED113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qFormat/>
    <w:uiPriority w:val="0"/>
    <w:pPr>
      <w:spacing w:line="560" w:lineRule="exact"/>
    </w:pPr>
    <w:rPr>
      <w:sz w:val="24"/>
      <w:szCs w:val="20"/>
    </w:rPr>
  </w:style>
  <w:style w:type="paragraph" w:styleId="3">
    <w:name w:val="Balloon Text"/>
    <w:basedOn w:val="1"/>
    <w:link w:val="11"/>
    <w:autoRedefine/>
    <w:qFormat/>
    <w:uiPriority w:val="0"/>
    <w:rPr>
      <w:sz w:val="18"/>
      <w:szCs w:val="18"/>
    </w:rPr>
  </w:style>
  <w:style w:type="paragraph" w:styleId="4">
    <w:name w:val="footer"/>
    <w:basedOn w:val="1"/>
    <w:link w:val="10"/>
    <w:autoRedefine/>
    <w:qFormat/>
    <w:uiPriority w:val="0"/>
    <w:pPr>
      <w:tabs>
        <w:tab w:val="center" w:pos="4153"/>
        <w:tab w:val="right" w:pos="8306"/>
      </w:tabs>
      <w:snapToGrid w:val="0"/>
      <w:jc w:val="left"/>
    </w:pPr>
    <w:rPr>
      <w:sz w:val="18"/>
      <w:szCs w:val="18"/>
    </w:rPr>
  </w:style>
  <w:style w:type="paragraph" w:styleId="5">
    <w:name w:val="header"/>
    <w:basedOn w:val="1"/>
    <w:link w:val="9"/>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9">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0">
    <w:name w:val="页脚 Char"/>
    <w:basedOn w:val="8"/>
    <w:link w:val="4"/>
    <w:autoRedefine/>
    <w:qFormat/>
    <w:uiPriority w:val="0"/>
    <w:rPr>
      <w:rFonts w:asciiTheme="minorHAnsi" w:hAnsiTheme="minorHAnsi" w:eastAsiaTheme="minorEastAsia" w:cstheme="minorBidi"/>
      <w:kern w:val="2"/>
      <w:sz w:val="18"/>
      <w:szCs w:val="18"/>
    </w:rPr>
  </w:style>
  <w:style w:type="character" w:customStyle="1" w:styleId="11">
    <w:name w:val="批注框文本 Char"/>
    <w:basedOn w:val="8"/>
    <w:link w:val="3"/>
    <w:qFormat/>
    <w:uiPriority w:val="0"/>
    <w:rPr>
      <w:rFonts w:asciiTheme="minorHAnsi" w:hAnsiTheme="minorHAnsi" w:eastAsiaTheme="minorEastAsia" w:cstheme="minorBidi"/>
      <w:kern w:val="2"/>
      <w:sz w:val="18"/>
      <w:szCs w:val="18"/>
    </w:rPr>
  </w:style>
  <w:style w:type="paragraph" w:customStyle="1" w:styleId="12">
    <w:name w:val="工贸一封委托单位名称"/>
    <w:basedOn w:val="1"/>
    <w:qFormat/>
    <w:uiPriority w:val="0"/>
    <w:pPr>
      <w:spacing w:before="600" w:beforeLines="600" w:line="360" w:lineRule="auto"/>
      <w:jc w:val="center"/>
    </w:pPr>
    <w:rPr>
      <w:b/>
      <w:sz w:val="44"/>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4</Pages>
  <Words>1048</Words>
  <Characters>1460</Characters>
  <Lines>6</Lines>
  <Paragraphs>1</Paragraphs>
  <TotalTime>1</TotalTime>
  <ScaleCrop>false</ScaleCrop>
  <LinksUpToDate>false</LinksUpToDate>
  <CharactersWithSpaces>1466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shoona</cp:lastModifiedBy>
  <dcterms:modified xsi:type="dcterms:W3CDTF">2026-04-30T06:32:44Z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E14C5D6276D74CDC9D7EA154BAD57675</vt:lpwstr>
  </property>
  <property fmtid="{D5CDD505-2E9C-101B-9397-08002B2CF9AE}" pid="4" name="KSOTemplateDocerSaveRecord">
    <vt:lpwstr>eyJoZGlkIjoiMmE5MjA2NTc2MmMwNzRhMTQzMTVkYzI3YThmZWIzZTciLCJ1c2VySWQiOiIyNTc3OTY5NiJ9</vt:lpwstr>
  </property>
</Properties>
</file>