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FDF00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b/>
          <w:sz w:val="36"/>
          <w:szCs w:val="36"/>
          <w:highlight w:val="none"/>
        </w:rPr>
        <w:t>安全评价报告信息公布表</w:t>
      </w:r>
    </w:p>
    <w:tbl>
      <w:tblPr>
        <w:tblStyle w:val="12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2B73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4B97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1A71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2AE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CA9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APJ-（鄂）-002</w:t>
            </w:r>
          </w:p>
        </w:tc>
      </w:tr>
      <w:tr w14:paraId="06677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493F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FBB7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湖北三宁化工股份有限公司</w:t>
            </w:r>
          </w:p>
        </w:tc>
      </w:tr>
      <w:tr w14:paraId="5EC0F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034B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4D61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尿基复合肥智能一体化绿色转型改造项目</w:t>
            </w:r>
          </w:p>
        </w:tc>
      </w:tr>
      <w:tr w14:paraId="1D20D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CECC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1CB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安全验收</w:t>
            </w: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评价</w:t>
            </w:r>
          </w:p>
        </w:tc>
      </w:tr>
      <w:tr w14:paraId="2D1B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6B96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安全评价过程控制情况</w:t>
            </w:r>
          </w:p>
        </w:tc>
      </w:tr>
      <w:tr w14:paraId="070C4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9A3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</w:t>
            </w:r>
          </w:p>
          <w:p w14:paraId="136A68E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E1D2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5192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817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过程控制负责人</w:t>
            </w:r>
          </w:p>
        </w:tc>
      </w:tr>
      <w:tr w14:paraId="0D5BC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FC32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64F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B6A3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B79F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余海波</w:t>
            </w:r>
          </w:p>
        </w:tc>
      </w:tr>
      <w:tr w14:paraId="0883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379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编制</w:t>
            </w:r>
          </w:p>
          <w:p w14:paraId="354A9C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6B7D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F3D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84B4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74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报告审批人</w:t>
            </w:r>
          </w:p>
        </w:tc>
      </w:tr>
      <w:tr w14:paraId="73C92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F94FD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08E4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361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5.11.28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7715E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Theme="minorHAnsi" w:eastAsiaTheme="minorEastAsia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484C8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Theme="minorHAnsi" w:eastAsiaTheme="minorEastAsia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</w:tr>
      <w:tr w14:paraId="7BF29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6B1C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</w:t>
            </w:r>
          </w:p>
          <w:p w14:paraId="1F3CED6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</w:t>
            </w:r>
          </w:p>
          <w:p w14:paraId="0908D19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</w:t>
            </w:r>
          </w:p>
          <w:p w14:paraId="458D21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参与</w:t>
            </w:r>
          </w:p>
          <w:p w14:paraId="21419AF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CBEA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24A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9F7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安全评价师从业识别卡/</w:t>
            </w:r>
          </w:p>
          <w:p w14:paraId="6D34B3C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A89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CE53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是否专职</w:t>
            </w:r>
          </w:p>
        </w:tc>
      </w:tr>
      <w:tr w14:paraId="71FD8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8C6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6BF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 xml:space="preserve">谭 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550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4A21F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7F6EC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2E00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3F2B6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EAD93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5750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765E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8AC84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991A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9E587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A78B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F3EC0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DA46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AEEE1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D041A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4DCD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CBE64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3043E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4B435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3A10E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CDCBC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4F3B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033392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28897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E06AD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5058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CD1F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F16F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A0291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4A903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020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333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78386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D3FC8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4196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 xml:space="preserve">夏 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37E8E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E07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3F20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D76A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C40B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4AF5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CD01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84F93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07EC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030942/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9A6A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4101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00AE7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65F0D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4C01C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253A1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AA3DD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5CA2D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63B9B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专职</w:t>
            </w:r>
          </w:p>
        </w:tc>
      </w:tr>
      <w:tr w14:paraId="1D990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72CBB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A43C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CAC1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C93E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DEF7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9C32A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CD6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A50EE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6E77B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AB60F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0E52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5D77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2D12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专职</w:t>
            </w:r>
          </w:p>
        </w:tc>
      </w:tr>
      <w:tr w14:paraId="7925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D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项目简介</w:t>
            </w:r>
          </w:p>
        </w:tc>
      </w:tr>
      <w:tr w14:paraId="2DB4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D0D0D">
            <w:pPr>
              <w:snapToGrid w:val="0"/>
              <w:spacing w:line="360" w:lineRule="auto"/>
              <w:rPr>
                <w:rFonts w:hint="default"/>
                <w:szCs w:val="28"/>
                <w:highlight w:val="none"/>
              </w:rPr>
            </w:pPr>
          </w:p>
          <w:p w14:paraId="6A47C4BC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（1）项目名称：尿基复合肥智能一体化绿色转型改造项目。</w:t>
            </w:r>
          </w:p>
          <w:p w14:paraId="37C256E3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（2）项目性质：技改及其他。</w:t>
            </w:r>
          </w:p>
          <w:p w14:paraId="18F7631E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（3）建设单位：湖北三宁化工股份有限公司。</w:t>
            </w:r>
          </w:p>
          <w:p w14:paraId="6552CB71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（4）建设地点：湖北枝江姚家港化工园区。</w:t>
            </w:r>
          </w:p>
          <w:p w14:paraId="5D297876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（5）项目投资额：8950.59万元。</w:t>
            </w:r>
          </w:p>
          <w:p w14:paraId="111D73D7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（6）项目用地：本项目总占地面积为10807.48 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，建构筑物占地面积5630.84 m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，项目用地为园区工业用地。</w:t>
            </w:r>
          </w:p>
          <w:p w14:paraId="7EBE8DBA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（7）劳动定员：36人。不新增劳动人员，员工均从原厂区调配。</w:t>
            </w:r>
          </w:p>
          <w:p w14:paraId="25F069C1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（8）法定代表人：李万清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。</w:t>
            </w:r>
          </w:p>
          <w:p w14:paraId="36DF6750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（9）备案情况：项目已取得枝江市发展和改革局下发的项目备案证，登记备案项目代码：2403-420583-04-02-498430。</w:t>
            </w:r>
          </w:p>
          <w:p w14:paraId="0DAC6193">
            <w:pPr>
              <w:adjustRightInd w:val="0"/>
              <w:snapToGrid w:val="0"/>
              <w:rPr>
                <w:rFonts w:hint="default"/>
                <w:szCs w:val="28"/>
                <w:highlight w:val="none"/>
                <w:lang w:val="en-US" w:eastAsia="zh-CN"/>
              </w:rPr>
            </w:pPr>
          </w:p>
        </w:tc>
      </w:tr>
      <w:tr w14:paraId="168A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B3A28">
            <w:pPr>
              <w:pStyle w:val="11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60673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C78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谭辉</w:t>
            </w:r>
          </w:p>
        </w:tc>
      </w:tr>
      <w:tr w14:paraId="0824D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2D27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392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2023.8.14</w:t>
            </w:r>
          </w:p>
        </w:tc>
      </w:tr>
      <w:tr w14:paraId="042BF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5D5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A06A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5C317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06C3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勘察中发</w:t>
            </w:r>
          </w:p>
          <w:p w14:paraId="387722E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77A4B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（1）水溶肥厂房西侧原料堆垛间距不足1米。</w:t>
            </w:r>
          </w:p>
          <w:p w14:paraId="2AF09E2E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（2）水溶肥厂房内操作室南侧地槽处围栏处、液体灌装肥车间无尘投料站平台均未设置“当心坠落”标志。</w:t>
            </w:r>
          </w:p>
          <w:p w14:paraId="2270014B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（3）水溶肥厂房办公室内未见应急物资柜，与专篇描述不一致。</w:t>
            </w:r>
          </w:p>
          <w:p w14:paraId="3284AAC7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（4）水溶肥车间二层物料管线、液体灌装肥厂房内物料管线未标识。</w:t>
            </w:r>
          </w:p>
          <w:p w14:paraId="7D2216F3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（5）液体灌装肥车间消防水管线穿墙处未进行防火封堵。</w:t>
            </w:r>
          </w:p>
          <w:p w14:paraId="663ECD0D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现场未见风向标。</w:t>
            </w:r>
          </w:p>
          <w:p w14:paraId="27AC3E8A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（6）储存物料氮钾复合肥的暂存库未张贴区域标识、物料标识。</w:t>
            </w:r>
          </w:p>
          <w:p w14:paraId="2C83B813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（7）液体灌装肥车间储存有非本项目使用物料（尿素、硫酸铵）、现场有杂物堆放。</w:t>
            </w:r>
          </w:p>
          <w:p w14:paraId="1B955B53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（8）UPS间与设计专篇中设备布置图位置不一致。</w:t>
            </w:r>
          </w:p>
          <w:p w14:paraId="29376335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（9）酵母液缓冲罐区前设置有活性炭尾气吸附装置，设计图纸上不存在。</w:t>
            </w:r>
          </w:p>
          <w:p w14:paraId="008586F1">
            <w:pPr>
              <w:jc w:val="left"/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（10）酵母液缓冲罐区未设置灭火器。</w:t>
            </w:r>
          </w:p>
          <w:p w14:paraId="2DDBB7AE">
            <w:pPr>
              <w:jc w:val="left"/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（11）根据专篇附图，查看水溶肥厂房工艺流程图，3台提升机设置物位联锁报警，液体灌装肥车间同样存在上述问题，但实际为PLC系统画面未见，与设计不一致。</w:t>
            </w:r>
          </w:p>
        </w:tc>
      </w:tr>
      <w:tr w14:paraId="045F3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DC70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DC589">
            <w:pPr>
              <w:widowControl w:val="0"/>
              <w:spacing w:after="12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eastAsia="宋体"/>
                <w:color w:val="auto"/>
                <w:highlight w:val="none"/>
                <w:lang w:val="en-US" w:eastAsia="zh-CN"/>
              </w:rPr>
              <w:drawing>
                <wp:inline distT="0" distB="0" distL="114300" distR="114300">
                  <wp:extent cx="2700020" cy="1519555"/>
                  <wp:effectExtent l="0" t="0" r="5080" b="4445"/>
                  <wp:docPr id="4" name="图片 4" descr="7898619607c1b74fb210ec6168922b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7898619607c1b74fb210ec6168922b0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15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eastAsia="宋体"/>
                <w:color w:val="auto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drawing>
                <wp:inline distT="0" distB="0" distL="114300" distR="114300">
                  <wp:extent cx="2188210" cy="1588770"/>
                  <wp:effectExtent l="0" t="0" r="2540" b="11430"/>
                  <wp:docPr id="5" name="图片 5" descr="da36aeb10051bd9f5d70e581551639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da36aeb10051bd9f5d70e581551639b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21518" r="189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210" cy="1588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8CFE58">
      <w:pPr>
        <w:pStyle w:val="10"/>
        <w:rPr>
          <w:rFonts w:hint="default"/>
          <w:highlight w:val="green"/>
        </w:rPr>
      </w:pPr>
    </w:p>
    <w:p w14:paraId="575C31E3">
      <w:pPr>
        <w:tabs>
          <w:tab w:val="left" w:pos="6850"/>
        </w:tabs>
        <w:rPr>
          <w:rFonts w:hint="default" w:ascii="Times New Roman" w:hAnsi="Times New Roman" w:cs="Times New Roman"/>
          <w:color w:val="FF0000"/>
          <w:sz w:val="28"/>
          <w:szCs w:val="28"/>
          <w:highlight w:val="green"/>
        </w:rPr>
      </w:pPr>
    </w:p>
    <w:p w14:paraId="5341AD5E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9866C4"/>
    <w:multiLevelType w:val="multilevel"/>
    <w:tmpl w:val="899866C4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15"/>
      <w:suff w:val="space"/>
      <w:lvlText w:val="%1.%2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32"/>
        <w:szCs w:val="32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A4B712CD"/>
    <w:multiLevelType w:val="multilevel"/>
    <w:tmpl w:val="A4B712CD"/>
    <w:lvl w:ilvl="0" w:tentative="0">
      <w:start w:val="1"/>
      <w:numFmt w:val="decimal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16"/>
      <w:isLgl/>
      <w:suff w:val="space"/>
      <w:lvlText w:val="%1.%2.%3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28"/>
        <w:szCs w:val="28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CDA01A5F"/>
    <w:multiLevelType w:val="multilevel"/>
    <w:tmpl w:val="CDA01A5F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pStyle w:val="14"/>
      <w:suff w:val="space"/>
      <w:lvlText w:val="%1.%2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宋体" w:hAnsi="宋体" w:eastAsia="宋体" w:cs="宋体"/>
        <w:b/>
        <w:bCs/>
        <w:sz w:val="32"/>
        <w:szCs w:val="32"/>
      </w:rPr>
    </w:lvl>
    <w:lvl w:ilvl="2" w:tentative="0">
      <w:start w:val="1"/>
      <w:numFmt w:val="none"/>
      <w:lvlText w:val="%1.%2"/>
      <w:lvlJc w:val="left"/>
      <w:pPr>
        <w:tabs>
          <w:tab w:val="left" w:pos="4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0A7C9E42"/>
    <w:multiLevelType w:val="multilevel"/>
    <w:tmpl w:val="0A7C9E42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isLgl/>
      <w:suff w:val="space"/>
      <w:lvlText w:val="%1.%2."/>
      <w:lvlJc w:val="left"/>
      <w:pPr>
        <w:tabs>
          <w:tab w:val="left" w:pos="420"/>
        </w:tabs>
        <w:ind w:left="420" w:leftChars="0" w:hanging="420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17"/>
      <w:isLgl/>
      <w:suff w:val="space"/>
      <w:lvlText w:val="%1.%2.%3.%4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eastAsia="黑体"/>
        <w:sz w:val="28"/>
        <w:szCs w:val="28"/>
      </w:rPr>
    </w:lvl>
    <w:lvl w:ilvl="4" w:tentative="0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AF1387"/>
    <w:rsid w:val="140E7E0D"/>
    <w:rsid w:val="29AB01EA"/>
    <w:rsid w:val="39AB4089"/>
    <w:rsid w:val="3D683C04"/>
    <w:rsid w:val="3DEA49BF"/>
    <w:rsid w:val="59F859B5"/>
    <w:rsid w:val="5ED93504"/>
    <w:rsid w:val="62EA356D"/>
    <w:rsid w:val="6A2055EB"/>
    <w:rsid w:val="6F9327DB"/>
    <w:rsid w:val="7151694D"/>
    <w:rsid w:val="768816E9"/>
    <w:rsid w:val="78D203D0"/>
    <w:rsid w:val="7AA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8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 w:eastAsia="楷体" w:cs="Times New Roman"/>
      <w:b/>
      <w:sz w:val="32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6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7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8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9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qFormat/>
    <w:uiPriority w:val="0"/>
    <w:pPr>
      <w:spacing w:line="240" w:lineRule="exact"/>
      <w:jc w:val="center"/>
    </w:pPr>
    <w:rPr>
      <w:szCs w:val="20"/>
    </w:rPr>
  </w:style>
  <w:style w:type="paragraph" w:styleId="11">
    <w:name w:val="Normal (Web)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customStyle="1" w:styleId="14">
    <w:name w:val="一级标题"/>
    <w:basedOn w:val="1"/>
    <w:next w:val="1"/>
    <w:qFormat/>
    <w:uiPriority w:val="0"/>
    <w:pPr>
      <w:keepNext/>
      <w:keepLines/>
      <w:numPr>
        <w:ilvl w:val="1"/>
        <w:numId w:val="2"/>
      </w:numPr>
      <w:tabs>
        <w:tab w:val="left" w:pos="210"/>
        <w:tab w:val="decimal" w:pos="420"/>
      </w:tabs>
      <w:spacing w:beforeLines="0" w:after="100" w:afterLines="100" w:line="360" w:lineRule="auto"/>
      <w:ind w:left="420" w:hanging="420"/>
      <w:jc w:val="center"/>
      <w:outlineLvl w:val="0"/>
    </w:pPr>
    <w:rPr>
      <w:rFonts w:ascii="Times New Roman" w:hAnsi="Times New Roman" w:eastAsia="黑体"/>
      <w:b/>
      <w:bCs/>
      <w:kern w:val="44"/>
      <w:sz w:val="32"/>
      <w:szCs w:val="32"/>
    </w:rPr>
  </w:style>
  <w:style w:type="paragraph" w:customStyle="1" w:styleId="15">
    <w:name w:val="二级标题"/>
    <w:basedOn w:val="1"/>
    <w:next w:val="1"/>
    <w:qFormat/>
    <w:uiPriority w:val="0"/>
    <w:pPr>
      <w:keepNext/>
      <w:keepLines/>
      <w:numPr>
        <w:ilvl w:val="1"/>
        <w:numId w:val="3"/>
      </w:numPr>
      <w:tabs>
        <w:tab w:val="left" w:pos="210"/>
        <w:tab w:val="left" w:pos="420"/>
        <w:tab w:val="clear" w:pos="0"/>
      </w:tabs>
      <w:spacing w:beforeLines="0" w:afterLines="0" w:line="360" w:lineRule="auto"/>
      <w:jc w:val="left"/>
      <w:outlineLvl w:val="1"/>
    </w:pPr>
    <w:rPr>
      <w:rFonts w:ascii="Times New Roman" w:hAnsi="Times New Roman" w:eastAsia="楷体"/>
      <w:b/>
      <w:bCs/>
      <w:sz w:val="32"/>
      <w:szCs w:val="32"/>
    </w:rPr>
  </w:style>
  <w:style w:type="paragraph" w:customStyle="1" w:styleId="16">
    <w:name w:val="三级标题"/>
    <w:basedOn w:val="1"/>
    <w:next w:val="1"/>
    <w:qFormat/>
    <w:uiPriority w:val="0"/>
    <w:pPr>
      <w:keepNext/>
      <w:keepLines/>
      <w:numPr>
        <w:ilvl w:val="2"/>
        <w:numId w:val="4"/>
      </w:numPr>
      <w:tabs>
        <w:tab w:val="left" w:pos="420"/>
        <w:tab w:val="clear" w:pos="0"/>
      </w:tabs>
      <w:spacing w:beforeLines="0" w:afterLines="0" w:line="360" w:lineRule="auto"/>
      <w:ind w:left="720" w:hanging="720"/>
      <w:jc w:val="left"/>
      <w:outlineLvl w:val="2"/>
    </w:pPr>
    <w:rPr>
      <w:rFonts w:eastAsia="黑体" w:asciiTheme="minorAscii" w:hAnsiTheme="minorAscii"/>
      <w:b/>
      <w:sz w:val="28"/>
    </w:rPr>
  </w:style>
  <w:style w:type="paragraph" w:customStyle="1" w:styleId="17">
    <w:name w:val="四级标题"/>
    <w:basedOn w:val="1"/>
    <w:qFormat/>
    <w:uiPriority w:val="0"/>
    <w:pPr>
      <w:numPr>
        <w:ilvl w:val="3"/>
        <w:numId w:val="1"/>
      </w:numPr>
      <w:spacing w:line="360" w:lineRule="auto"/>
      <w:ind w:left="420" w:hanging="420"/>
      <w:jc w:val="left"/>
    </w:pPr>
    <w:rPr>
      <w:rFonts w:eastAsia="黑体" w:asciiTheme="minorAscii" w:hAnsiTheme="minorAscii"/>
      <w:sz w:val="28"/>
    </w:rPr>
  </w:style>
  <w:style w:type="character" w:customStyle="1" w:styleId="18">
    <w:name w:val="标题 2 Char"/>
    <w:link w:val="3"/>
    <w:qFormat/>
    <w:uiPriority w:val="0"/>
    <w:rPr>
      <w:rFonts w:ascii="Arial" w:hAnsi="Arial" w:eastAsia="楷体" w:cs="Times New Roman"/>
      <w:b/>
      <w:kern w:val="2"/>
      <w:sz w:val="32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2024-05-29T00:27:00Z</dcterms:created>
  <dc:creator>hbjs</dc:creator>
  <cp:lastModifiedBy>灯火阑珊处</cp:lastModifiedBy>
  <dcterms:modified xsi:type="dcterms:W3CDTF">2026-01-16T06:47:45Z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36141E5F1AC1428D9989F1A72C2E19E3_12</vt:lpwstr>
  </property>
  <property fmtid="{D5CDD505-2E9C-101B-9397-08002B2CF9AE}" pid="4" name="KSOTemplateDocerSaveRecord">
    <vt:lpwstr>eyJoZGlkIjoiNjc0YmUyNGU2MzkwOGJkNGFmMmVmYzQxNTYwOGIxODYiLCJ1c2VySWQiOiIxMDQ1MTE1Njc2In0=</vt:lpwstr>
  </property>
</Properties>
</file>