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85F12D7">
      <w:pPr>
        <w:adjustRightInd w:val="0"/>
        <w:snapToGrid w:val="0"/>
        <w:spacing w:line="360" w:lineRule="auto"/>
        <w:jc w:val="center"/>
        <w:rPr>
          <w:rFonts w:ascii="方正小标宋_GBK" w:hAnsi="宋体" w:eastAsia="方正小标宋_GBK" w:cs="方正小标宋_GBK"/>
          <w:b/>
          <w:sz w:val="44"/>
          <w:szCs w:val="44"/>
        </w:rPr>
      </w:pPr>
      <w:r>
        <w:rPr>
          <w:rFonts w:hint="eastAsia" w:ascii="方正小标宋_GBK" w:hAnsi="宋体" w:eastAsia="方正小标宋_GBK" w:cs="方正小标宋_GBK"/>
          <w:b/>
          <w:sz w:val="44"/>
          <w:szCs w:val="44"/>
        </w:rPr>
        <w:t>安全评价报告信息公布表</w:t>
      </w:r>
    </w:p>
    <w:tbl>
      <w:tblPr>
        <w:tblStyle w:val="7"/>
        <w:tblW w:w="97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1"/>
        <w:gridCol w:w="1051"/>
        <w:gridCol w:w="1851"/>
        <w:gridCol w:w="1161"/>
        <w:gridCol w:w="1441"/>
        <w:gridCol w:w="1455"/>
        <w:gridCol w:w="1554"/>
      </w:tblGrid>
      <w:tr w14:paraId="03E86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4CA9937B">
            <w:pPr>
              <w:adjustRightInd w:val="0"/>
              <w:snapToGrid w:val="0"/>
              <w:jc w:val="center"/>
              <w:rPr>
                <w:rFonts w:ascii="Times New Roman" w:hAnsi="Times New Roman" w:eastAsia="宋体" w:cs="Times New Roman"/>
                <w:b/>
                <w:szCs w:val="21"/>
              </w:rPr>
            </w:pPr>
            <w:r>
              <w:rPr>
                <w:rFonts w:ascii="Times New Roman" w:hAnsi="Times New Roman" w:cs="Times New Roman"/>
                <w:b/>
                <w:szCs w:val="21"/>
              </w:rPr>
              <w:t>机构名称</w:t>
            </w:r>
          </w:p>
        </w:tc>
        <w:tc>
          <w:tcPr>
            <w:tcW w:w="406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015F6F74">
            <w:pPr>
              <w:adjustRightInd w:val="0"/>
              <w:snapToGrid w:val="0"/>
              <w:jc w:val="center"/>
              <w:rPr>
                <w:rFonts w:ascii="Times New Roman" w:hAnsi="Times New Roman" w:eastAsia="宋体" w:cs="Times New Roman"/>
                <w:szCs w:val="21"/>
              </w:rPr>
            </w:pPr>
            <w:r>
              <w:rPr>
                <w:rFonts w:ascii="Times New Roman" w:hAnsi="Times New Roman" w:cs="Times New Roman"/>
                <w:szCs w:val="21"/>
              </w:rPr>
              <w:t>湖北景深安全技术有限公司</w:t>
            </w:r>
          </w:p>
        </w:tc>
        <w:tc>
          <w:tcPr>
            <w:tcW w:w="1441" w:type="dxa"/>
            <w:tcBorders>
              <w:top w:val="single" w:color="auto" w:sz="4" w:space="0"/>
              <w:left w:val="single" w:color="auto" w:sz="4" w:space="0"/>
              <w:bottom w:val="single" w:color="auto" w:sz="4" w:space="0"/>
              <w:right w:val="single" w:color="auto" w:sz="4" w:space="0"/>
            </w:tcBorders>
            <w:shd w:val="clear" w:color="auto" w:fill="auto"/>
            <w:vAlign w:val="center"/>
          </w:tcPr>
          <w:p w14:paraId="60A08199">
            <w:pPr>
              <w:adjustRightInd w:val="0"/>
              <w:snapToGrid w:val="0"/>
              <w:jc w:val="center"/>
              <w:rPr>
                <w:rFonts w:ascii="Times New Roman" w:hAnsi="Times New Roman" w:eastAsia="宋体" w:cs="Times New Roman"/>
                <w:b/>
                <w:szCs w:val="21"/>
              </w:rPr>
            </w:pPr>
            <w:r>
              <w:rPr>
                <w:rFonts w:ascii="Times New Roman" w:hAnsi="Times New Roman" w:cs="Times New Roman"/>
                <w:b/>
                <w:szCs w:val="21"/>
              </w:rPr>
              <w:t>资质证号</w:t>
            </w:r>
          </w:p>
        </w:tc>
        <w:tc>
          <w:tcPr>
            <w:tcW w:w="300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7778F8A">
            <w:pPr>
              <w:adjustRightInd w:val="0"/>
              <w:snapToGrid w:val="0"/>
              <w:jc w:val="center"/>
              <w:rPr>
                <w:rFonts w:hint="default" w:ascii="Times New Roman" w:hAnsi="Times New Roman" w:cs="Times New Roman" w:eastAsiaTheme="minorEastAsia"/>
                <w:b/>
                <w:szCs w:val="21"/>
                <w:lang w:val="en-US" w:eastAsia="zh-CN"/>
              </w:rPr>
            </w:pPr>
            <w:r>
              <w:rPr>
                <w:rFonts w:ascii="Times New Roman" w:hAnsi="Times New Roman" w:cs="Times New Roman"/>
                <w:szCs w:val="21"/>
              </w:rPr>
              <w:t>APJ-（鄂）-</w:t>
            </w:r>
            <w:r>
              <w:rPr>
                <w:rFonts w:hint="eastAsia" w:ascii="Times New Roman" w:hAnsi="Times New Roman" w:cs="Times New Roman"/>
                <w:szCs w:val="21"/>
                <w:lang w:val="en-US" w:eastAsia="zh-CN"/>
              </w:rPr>
              <w:t>002</w:t>
            </w:r>
          </w:p>
        </w:tc>
      </w:tr>
      <w:tr w14:paraId="39160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70A2C86B">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委托单位</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3D241BF6">
            <w:pPr>
              <w:pStyle w:val="12"/>
              <w:keepNext w:val="0"/>
              <w:keepLines w:val="0"/>
              <w:pageBreakBefore w:val="0"/>
              <w:widowControl w:val="0"/>
              <w:kinsoku/>
              <w:wordWrap/>
              <w:overflowPunct/>
              <w:topLinePunct w:val="0"/>
              <w:autoSpaceDE/>
              <w:autoSpaceDN/>
              <w:bidi w:val="0"/>
              <w:adjustRightInd/>
              <w:snapToGrid/>
              <w:spacing w:before="0" w:beforeLines="0"/>
              <w:textAlignment w:val="auto"/>
              <w:rPr>
                <w:rFonts w:ascii="Times New Roman" w:hAnsi="Times New Roman" w:eastAsia="宋体" w:cs="Times New Roman"/>
                <w:szCs w:val="21"/>
              </w:rPr>
            </w:pPr>
            <w:r>
              <w:rPr>
                <w:rFonts w:hint="eastAsia" w:ascii="Times New Roman" w:hAnsi="Times New Roman" w:cs="Times New Roman" w:eastAsiaTheme="minorEastAsia"/>
                <w:b w:val="0"/>
                <w:bCs/>
                <w:sz w:val="21"/>
                <w:szCs w:val="21"/>
                <w:lang w:eastAsia="zh-CN"/>
              </w:rPr>
              <w:t>华鲁恒升（荆州）有限公司</w:t>
            </w:r>
          </w:p>
        </w:tc>
      </w:tr>
      <w:tr w14:paraId="1C43B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1392DA77">
            <w:pPr>
              <w:adjustRightInd w:val="0"/>
              <w:snapToGrid w:val="0"/>
              <w:jc w:val="center"/>
              <w:rPr>
                <w:rFonts w:ascii="Times New Roman" w:hAnsi="Times New Roman" w:eastAsia="宋体" w:cs="Times New Roman"/>
                <w:szCs w:val="21"/>
              </w:rPr>
            </w:pPr>
            <w:r>
              <w:rPr>
                <w:rFonts w:ascii="Times New Roman" w:hAnsi="Times New Roman" w:eastAsia="宋体" w:cs="Times New Roman"/>
                <w:b/>
                <w:szCs w:val="21"/>
              </w:rPr>
              <w:t>项目名称</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5421533B">
            <w:pPr>
              <w:adjustRightInd w:val="0"/>
              <w:snapToGrid w:val="0"/>
              <w:jc w:val="center"/>
              <w:rPr>
                <w:rFonts w:hint="default" w:ascii="Times New Roman" w:hAnsi="Times New Roman" w:eastAsia="宋体" w:cs="Times New Roman"/>
                <w:szCs w:val="21"/>
                <w:lang w:val="en-US"/>
              </w:rPr>
            </w:pPr>
            <w:r>
              <w:rPr>
                <w:rFonts w:hint="default" w:ascii="Times New Roman" w:hAnsi="Times New Roman" w:eastAsia="宋体" w:cs="Times New Roman"/>
                <w:szCs w:val="21"/>
                <w:lang w:val="en-US"/>
              </w:rPr>
              <w:t>华鲁恒升（荆州）有限公司蜜胺树脂单体材料原料及产品优化提升项目安全验收评价报告</w:t>
            </w:r>
          </w:p>
        </w:tc>
      </w:tr>
      <w:tr w14:paraId="1C92E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215CB539">
            <w:pPr>
              <w:adjustRightInd w:val="0"/>
              <w:snapToGrid w:val="0"/>
              <w:jc w:val="center"/>
              <w:rPr>
                <w:rFonts w:ascii="Times New Roman" w:hAnsi="Times New Roman" w:eastAsia="宋体" w:cs="Times New Roman"/>
                <w:szCs w:val="21"/>
              </w:rPr>
            </w:pPr>
            <w:r>
              <w:rPr>
                <w:rFonts w:ascii="Times New Roman" w:hAnsi="Times New Roman" w:eastAsia="宋体" w:cs="Times New Roman"/>
                <w:b/>
                <w:szCs w:val="21"/>
              </w:rPr>
              <w:t>业务类别</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156FD58A">
            <w:pPr>
              <w:adjustRightInd w:val="0"/>
              <w:snapToGrid w:val="0"/>
              <w:jc w:val="center"/>
              <w:rPr>
                <w:rFonts w:ascii="Times New Roman" w:hAnsi="Times New Roman" w:eastAsia="宋体" w:cs="Times New Roman"/>
                <w:szCs w:val="21"/>
              </w:rPr>
            </w:pPr>
            <w:r>
              <w:rPr>
                <w:rFonts w:hint="eastAsia" w:ascii="Times New Roman" w:hAnsi="Times New Roman" w:eastAsia="宋体" w:cs="Times New Roman"/>
                <w:szCs w:val="21"/>
                <w:lang w:eastAsia="zh-CN"/>
              </w:rPr>
              <w:t>化学原料、化学品及医药制造业</w:t>
            </w:r>
          </w:p>
        </w:tc>
      </w:tr>
      <w:tr w14:paraId="362C0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4DC267B0">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安全评价过程控制情况</w:t>
            </w:r>
          </w:p>
        </w:tc>
      </w:tr>
      <w:tr w14:paraId="4A4B4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72B4407">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安全评价</w:t>
            </w:r>
          </w:p>
          <w:p w14:paraId="3B41EC89">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项目管理</w:t>
            </w:r>
          </w:p>
        </w:tc>
        <w:tc>
          <w:tcPr>
            <w:tcW w:w="29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08ACBEC">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项目组长</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DDF72B4">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技术负责人</w:t>
            </w:r>
          </w:p>
        </w:tc>
        <w:tc>
          <w:tcPr>
            <w:tcW w:w="300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A846B29">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过程控制负责人</w:t>
            </w:r>
          </w:p>
        </w:tc>
      </w:tr>
      <w:tr w14:paraId="35D18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0BCB319">
            <w:pPr>
              <w:rPr>
                <w:rFonts w:ascii="Times New Roman" w:hAnsi="Times New Roman" w:eastAsia="宋体" w:cs="Times New Roman"/>
                <w:szCs w:val="22"/>
              </w:rPr>
            </w:pPr>
          </w:p>
        </w:tc>
        <w:tc>
          <w:tcPr>
            <w:tcW w:w="29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1A78D5F">
            <w:pPr>
              <w:adjustRightInd w:val="0"/>
              <w:snapToGrid w:val="0"/>
              <w:jc w:val="center"/>
              <w:rPr>
                <w:rFonts w:ascii="Times New Roman" w:hAnsi="Times New Roman" w:eastAsia="宋体" w:cs="Times New Roman"/>
                <w:szCs w:val="21"/>
              </w:rPr>
            </w:pPr>
            <w:r>
              <w:rPr>
                <w:rFonts w:hint="eastAsia" w:ascii="Times New Roman" w:hAnsi="Times New Roman" w:eastAsia="宋体" w:cs="Times New Roman"/>
                <w:szCs w:val="21"/>
                <w:lang w:val="en-US" w:eastAsia="zh-CN"/>
              </w:rPr>
              <w:t>周智鑫</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F383B38">
            <w:pPr>
              <w:adjustRightInd w:val="0"/>
              <w:snapToGrid w:val="0"/>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王冬梅</w:t>
            </w:r>
          </w:p>
        </w:tc>
        <w:tc>
          <w:tcPr>
            <w:tcW w:w="300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E294AC4">
            <w:pPr>
              <w:adjustRightInd w:val="0"/>
              <w:snapToGrid w:val="0"/>
              <w:jc w:val="center"/>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余海波</w:t>
            </w:r>
          </w:p>
        </w:tc>
      </w:tr>
      <w:tr w14:paraId="412F2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34882AF">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编制</w:t>
            </w:r>
          </w:p>
          <w:p w14:paraId="209FB449">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过程</w:t>
            </w:r>
          </w:p>
        </w:tc>
        <w:tc>
          <w:tcPr>
            <w:tcW w:w="29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B2FEA99">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报告编制人</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00688FA">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报告提交日期</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547D3158">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报告审核人</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554FD825">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报告审批人</w:t>
            </w:r>
          </w:p>
        </w:tc>
      </w:tr>
      <w:tr w14:paraId="73CE4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632D274">
            <w:pPr>
              <w:rPr>
                <w:rFonts w:ascii="Times New Roman" w:hAnsi="Times New Roman" w:eastAsia="宋体" w:cs="Times New Roman"/>
                <w:szCs w:val="22"/>
              </w:rPr>
            </w:pPr>
          </w:p>
        </w:tc>
        <w:tc>
          <w:tcPr>
            <w:tcW w:w="29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9967F79">
            <w:pPr>
              <w:adjustRightInd w:val="0"/>
              <w:snapToGrid w:val="0"/>
              <w:jc w:val="center"/>
              <w:rPr>
                <w:rFonts w:hint="eastAsia" w:ascii="Times New Roman" w:hAnsi="Times New Roman" w:cs="Times New Roman" w:eastAsiaTheme="minorEastAsia"/>
                <w:color w:val="000000" w:themeColor="text1"/>
                <w:szCs w:val="21"/>
                <w:lang w:val="en-US" w:eastAsia="zh-CN"/>
              </w:rPr>
            </w:pPr>
            <w:r>
              <w:rPr>
                <w:rFonts w:hint="eastAsia" w:ascii="Times New Roman" w:hAnsi="Times New Roman" w:eastAsia="宋体" w:cs="Times New Roman"/>
                <w:szCs w:val="21"/>
                <w:lang w:val="en-US" w:eastAsia="zh-CN"/>
              </w:rPr>
              <w:t>鲁小芳、周智鑫</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7B202FA">
            <w:pPr>
              <w:adjustRightInd w:val="0"/>
              <w:snapToGrid w:val="0"/>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2025.11.13</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06609318">
            <w:pPr>
              <w:adjustRightInd w:val="0"/>
              <w:snapToGrid w:val="0"/>
              <w:jc w:val="center"/>
              <w:rPr>
                <w:rFonts w:hint="default" w:ascii="Times New Roman" w:hAnsi="Times New Roman" w:eastAsia="宋体" w:cs="Times New Roman"/>
                <w:color w:val="auto"/>
                <w:szCs w:val="21"/>
                <w:lang w:val="en-US" w:eastAsia="zh-CN"/>
              </w:rPr>
            </w:pPr>
            <w:r>
              <w:rPr>
                <w:rFonts w:hint="eastAsia" w:ascii="Times New Roman" w:hAnsi="Times New Roman" w:cs="Times New Roman"/>
                <w:color w:val="auto"/>
                <w:szCs w:val="21"/>
                <w:lang w:val="en-US" w:eastAsia="zh-CN"/>
              </w:rPr>
              <w:t>袁飞</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7AA97A42">
            <w:pPr>
              <w:adjustRightInd w:val="0"/>
              <w:snapToGrid w:val="0"/>
              <w:jc w:val="center"/>
              <w:rPr>
                <w:rFonts w:hint="eastAsia" w:ascii="Times New Roman" w:hAnsi="Times New Roman" w:eastAsia="宋体" w:cs="Times New Roman"/>
                <w:szCs w:val="21"/>
                <w:lang w:eastAsia="zh-CN"/>
              </w:rPr>
            </w:pPr>
            <w:r>
              <w:rPr>
                <w:rFonts w:hint="default" w:ascii="Times New Roman" w:hAnsi="Times New Roman" w:cs="Times New Roman"/>
                <w:color w:val="auto"/>
                <w:szCs w:val="21"/>
                <w:lang w:val="en-US" w:eastAsia="zh-CN"/>
              </w:rPr>
              <w:t>王</w:t>
            </w:r>
            <w:r>
              <w:rPr>
                <w:rFonts w:hint="default" w:ascii="Times New Roman" w:hAnsi="Times New Roman" w:cs="Times New Roman"/>
                <w:color w:val="auto"/>
                <w:szCs w:val="21"/>
                <w:lang w:val="en-US" w:eastAsia="zh-CN"/>
              </w:rPr>
              <w:t>冬梅</w:t>
            </w:r>
          </w:p>
        </w:tc>
      </w:tr>
      <w:tr w14:paraId="5AE81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restart"/>
            <w:tcBorders>
              <w:top w:val="single" w:color="auto" w:sz="4" w:space="0"/>
              <w:left w:val="single" w:color="auto" w:sz="4" w:space="0"/>
              <w:right w:val="single" w:color="auto" w:sz="4" w:space="0"/>
            </w:tcBorders>
            <w:shd w:val="clear" w:color="auto" w:fill="auto"/>
            <w:vAlign w:val="center"/>
          </w:tcPr>
          <w:p w14:paraId="21094928">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安全</w:t>
            </w:r>
          </w:p>
          <w:p w14:paraId="562F510D">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评价</w:t>
            </w:r>
          </w:p>
          <w:p w14:paraId="0E2A38EC">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项目</w:t>
            </w:r>
          </w:p>
          <w:p w14:paraId="23BAE563">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参与</w:t>
            </w:r>
          </w:p>
          <w:p w14:paraId="5A68AB8A">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人员</w:t>
            </w: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5CB93461">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姓名</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19E15D04">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认定专业</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4DF3D2B">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安全评价师从业识别卡/</w:t>
            </w:r>
          </w:p>
          <w:p w14:paraId="2F5D63E3">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证书编号</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2CB0CEF0">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注册安全工程师注册证号</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410AFA86">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是否专职</w:t>
            </w:r>
          </w:p>
        </w:tc>
      </w:tr>
      <w:tr w14:paraId="1D526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4E57C8E2">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1A27BE7E">
            <w:pPr>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szCs w:val="21"/>
                <w:lang w:val="en-US" w:eastAsia="zh-CN"/>
              </w:rPr>
              <w:t>周智鑫</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73F42675">
            <w:pPr>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szCs w:val="21"/>
                <w:lang w:val="en-US" w:eastAsia="zh-CN"/>
              </w:rPr>
              <w:t>化工工艺</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627EF55">
            <w:pPr>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szCs w:val="21"/>
                <w:lang w:val="en-US" w:eastAsia="zh-CN"/>
              </w:rPr>
              <w:t>035980/S011032000110192001446</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3880F6F8">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42190219314</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3CBCAC2B">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专职</w:t>
            </w:r>
          </w:p>
        </w:tc>
      </w:tr>
      <w:tr w14:paraId="4D43E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721BB64E">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2C6BE281">
            <w:pPr>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szCs w:val="21"/>
                <w:lang w:val="en-US" w:eastAsia="zh-CN"/>
              </w:rPr>
              <w:t>冀仕盛</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1093E969">
            <w:pPr>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szCs w:val="21"/>
                <w:lang w:val="en-US" w:eastAsia="zh-CN"/>
              </w:rPr>
              <w:t>电气</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C91535E">
            <w:pPr>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szCs w:val="21"/>
                <w:lang w:val="en-US" w:eastAsia="zh-CN"/>
              </w:rPr>
              <w:t>012346</w:t>
            </w:r>
            <w:r>
              <w:rPr>
                <w:rFonts w:hint="default" w:ascii="Times New Roman" w:hAnsi="Times New Roman" w:cs="Times New Roman" w:eastAsiaTheme="minorEastAsia"/>
                <w:szCs w:val="21"/>
                <w:lang w:val="en-US" w:eastAsia="zh-CN"/>
              </w:rPr>
              <w:t>/</w:t>
            </w:r>
            <w:r>
              <w:rPr>
                <w:rFonts w:hint="eastAsia" w:ascii="Times New Roman" w:hAnsi="Times New Roman" w:cs="Times New Roman" w:eastAsiaTheme="minorEastAsia"/>
                <w:szCs w:val="21"/>
                <w:lang w:val="en-US" w:eastAsia="zh-CN"/>
              </w:rPr>
              <w:t>0800000000207709</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6AB66883">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682A3222">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专职</w:t>
            </w:r>
          </w:p>
        </w:tc>
      </w:tr>
      <w:tr w14:paraId="6D7B0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2DDD35BE">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72E005D2">
            <w:pPr>
              <w:jc w:val="center"/>
              <w:rPr>
                <w:rFonts w:hint="eastAsia"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鲁小芳</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6FE8A3D4">
            <w:pPr>
              <w:jc w:val="center"/>
              <w:rPr>
                <w:rFonts w:hint="eastAsia"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安全</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FBB3B64">
            <w:pPr>
              <w:jc w:val="center"/>
              <w:rPr>
                <w:rFonts w:hint="eastAsia"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036168/S011032000110193000940</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64F6D3DD">
            <w:pPr>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szCs w:val="21"/>
                <w:lang w:val="en-US" w:eastAsia="zh-CN"/>
              </w:rPr>
              <w:t>42220298206</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1E28013B">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专职</w:t>
            </w:r>
          </w:p>
        </w:tc>
      </w:tr>
      <w:tr w14:paraId="32B33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5F2A3818">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641939BF">
            <w:pPr>
              <w:jc w:val="center"/>
              <w:rPr>
                <w:rFonts w:hint="eastAsia"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谭  辉</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392348E3">
            <w:pPr>
              <w:jc w:val="center"/>
              <w:rPr>
                <w:rFonts w:hint="eastAsia"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化工工艺/化工机械</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A4BB81A">
            <w:pPr>
              <w:jc w:val="center"/>
              <w:rPr>
                <w:rFonts w:hint="eastAsia"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028934</w:t>
            </w:r>
            <w:r>
              <w:rPr>
                <w:rFonts w:hint="eastAsia" w:ascii="Times New Roman" w:hAnsi="Times New Roman" w:cs="Times New Roman" w:eastAsiaTheme="minorEastAsia"/>
                <w:szCs w:val="21"/>
                <w:lang w:val="en-US" w:eastAsia="zh-CN"/>
              </w:rPr>
              <w:t>/</w:t>
            </w:r>
            <w:r>
              <w:rPr>
                <w:rFonts w:hint="default" w:ascii="Times New Roman" w:hAnsi="Times New Roman" w:cs="Times New Roman" w:eastAsiaTheme="minorEastAsia"/>
                <w:szCs w:val="21"/>
                <w:lang w:val="en-US" w:eastAsia="zh-CN"/>
              </w:rPr>
              <w:t>S011032000110192001025</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0BB636DA">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42180175866</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21A8C248">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专职</w:t>
            </w:r>
          </w:p>
        </w:tc>
      </w:tr>
      <w:tr w14:paraId="32692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707B8EDE">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2AC9273E">
            <w:pPr>
              <w:jc w:val="center"/>
              <w:rPr>
                <w:rFonts w:hint="eastAsia" w:ascii="Times New Roman" w:hAnsi="Times New Roman" w:cs="Times New Roman" w:eastAsiaTheme="minorEastAsia"/>
                <w:szCs w:val="21"/>
                <w:lang w:val="en-US" w:eastAsia="zh-CN"/>
              </w:rPr>
            </w:pPr>
            <w:r>
              <w:rPr>
                <w:rFonts w:hint="default" w:ascii="Times New Roman" w:hAnsi="Times New Roman" w:cs="Times New Roman" w:eastAsiaTheme="minorEastAsia"/>
                <w:szCs w:val="21"/>
                <w:lang w:val="en-US" w:eastAsia="zh-CN"/>
              </w:rPr>
              <w:t>丁鹏程</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3388BBC1">
            <w:pPr>
              <w:jc w:val="center"/>
              <w:rPr>
                <w:rFonts w:hint="eastAsia" w:ascii="Times New Roman" w:hAnsi="Times New Roman" w:cs="Times New Roman" w:eastAsiaTheme="minorEastAsia"/>
                <w:szCs w:val="21"/>
                <w:lang w:val="en-US" w:eastAsia="zh-CN"/>
              </w:rPr>
            </w:pPr>
            <w:r>
              <w:rPr>
                <w:rFonts w:hint="eastAsia" w:ascii="Times New Roman" w:hAnsi="Times New Roman" w:cs="Times New Roman" w:eastAsiaTheme="minorEastAsia"/>
                <w:szCs w:val="21"/>
                <w:lang w:val="en-US" w:eastAsia="zh-CN"/>
              </w:rPr>
              <w:t>自动化</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D43F20E">
            <w:pPr>
              <w:jc w:val="center"/>
              <w:rPr>
                <w:rFonts w:hint="default" w:ascii="Times New Roman" w:hAnsi="Times New Roman" w:cs="Times New Roman" w:eastAsiaTheme="minorEastAsia"/>
                <w:szCs w:val="21"/>
                <w:lang w:val="en-US" w:eastAsia="zh-CN"/>
              </w:rPr>
            </w:pPr>
            <w:r>
              <w:rPr>
                <w:rFonts w:hint="eastAsia" w:ascii="Times New Roman" w:hAnsi="Times New Roman" w:eastAsia="宋体" w:cs="Times New Roman"/>
                <w:color w:val="auto"/>
                <w:sz w:val="24"/>
                <w:szCs w:val="24"/>
                <w:highlight w:val="none"/>
                <w:lang w:val="en-US" w:eastAsia="zh-CN"/>
              </w:rPr>
              <w:t>039995/S011032000110203000932</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5747BB6F">
            <w:pPr>
              <w:jc w:val="center"/>
              <w:rPr>
                <w:rFonts w:hint="default" w:ascii="Times New Roman" w:hAnsi="Times New Roman" w:cs="Times New Roman" w:eastAsiaTheme="minorEastAsia"/>
                <w:szCs w:val="21"/>
                <w:lang w:val="en-US" w:eastAsia="zh-CN"/>
              </w:rPr>
            </w:pPr>
            <w:r>
              <w:rPr>
                <w:rFonts w:hint="default" w:ascii="Times New Roman" w:hAnsi="Times New Roman" w:cs="Times New Roman" w:eastAsiaTheme="minorEastAsia"/>
                <w:szCs w:val="21"/>
                <w:lang w:val="en-US" w:eastAsia="zh-CN"/>
              </w:rPr>
              <w:t>/</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4ED61666">
            <w:pPr>
              <w:jc w:val="center"/>
              <w:rPr>
                <w:rFonts w:hint="default" w:ascii="Times New Roman" w:hAnsi="Times New Roman" w:eastAsia="宋体" w:cs="Times New Roman"/>
                <w:szCs w:val="21"/>
              </w:rPr>
            </w:pPr>
            <w:r>
              <w:rPr>
                <w:rFonts w:hint="default" w:ascii="Times New Roman" w:hAnsi="Times New Roman" w:eastAsia="宋体" w:cs="Times New Roman"/>
                <w:szCs w:val="21"/>
              </w:rPr>
              <w:t>专职</w:t>
            </w:r>
          </w:p>
        </w:tc>
      </w:tr>
      <w:tr w14:paraId="41C07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6846906E">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6B850725">
            <w:pPr>
              <w:jc w:val="center"/>
              <w:rPr>
                <w:rFonts w:hint="eastAsia" w:ascii="Times New Roman" w:hAnsi="Times New Roman" w:cs="Times New Roman" w:eastAsiaTheme="minorEastAsia"/>
                <w:szCs w:val="21"/>
                <w:lang w:val="en-US" w:eastAsia="zh-CN"/>
              </w:rPr>
            </w:pPr>
            <w:r>
              <w:rPr>
                <w:rFonts w:hint="default" w:ascii="Times New Roman" w:hAnsi="Times New Roman" w:cs="Times New Roman" w:eastAsiaTheme="minorEastAsia"/>
                <w:szCs w:val="21"/>
                <w:lang w:val="en-US" w:eastAsia="zh-CN"/>
              </w:rPr>
              <w:t>王海波</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391735DA">
            <w:pPr>
              <w:jc w:val="center"/>
              <w:rPr>
                <w:rFonts w:hint="eastAsia" w:ascii="Times New Roman" w:hAnsi="Times New Roman" w:cs="Times New Roman" w:eastAsiaTheme="minorEastAsia"/>
                <w:szCs w:val="21"/>
                <w:lang w:val="en-US" w:eastAsia="zh-CN"/>
              </w:rPr>
            </w:pPr>
            <w:r>
              <w:rPr>
                <w:rFonts w:hint="eastAsia" w:ascii="Times New Roman" w:hAnsi="Times New Roman" w:cs="Times New Roman" w:eastAsiaTheme="minorEastAsia"/>
                <w:szCs w:val="21"/>
                <w:lang w:val="en-US" w:eastAsia="zh-CN"/>
              </w:rPr>
              <w:t>化工工艺</w:t>
            </w:r>
            <w:r>
              <w:rPr>
                <w:rFonts w:hint="default" w:ascii="Times New Roman" w:hAnsi="Times New Roman" w:cs="Times New Roman" w:eastAsiaTheme="minorEastAsia"/>
                <w:szCs w:val="21"/>
                <w:lang w:val="en-US" w:eastAsia="zh-CN"/>
              </w:rPr>
              <w:t>/安全</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E22E8DC">
            <w:pPr>
              <w:jc w:val="center"/>
              <w:rPr>
                <w:rFonts w:hint="eastAsia"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035981</w:t>
            </w:r>
            <w:r>
              <w:rPr>
                <w:rFonts w:hint="eastAsia" w:ascii="Times New Roman" w:hAnsi="Times New Roman" w:cs="Times New Roman" w:eastAsiaTheme="minorEastAsia"/>
                <w:szCs w:val="21"/>
                <w:lang w:val="en-US" w:eastAsia="zh-CN"/>
              </w:rPr>
              <w:t>/</w:t>
            </w:r>
            <w:r>
              <w:rPr>
                <w:rFonts w:hint="default" w:ascii="Times New Roman" w:hAnsi="Times New Roman" w:cs="Times New Roman" w:eastAsiaTheme="minorEastAsia"/>
                <w:szCs w:val="21"/>
                <w:lang w:val="en-US" w:eastAsia="zh-CN"/>
              </w:rPr>
              <w:t>S011032000110192001402</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7C99DD6A">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42180199405</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277515C0">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专职</w:t>
            </w:r>
          </w:p>
        </w:tc>
      </w:tr>
      <w:tr w14:paraId="66937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60A54F58">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1D49208B">
            <w:pPr>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szCs w:val="21"/>
                <w:lang w:val="en-US" w:eastAsia="zh-CN"/>
              </w:rPr>
              <w:t>夏  鹏</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11718BB7">
            <w:pPr>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szCs w:val="21"/>
                <w:lang w:val="en-US" w:eastAsia="zh-CN"/>
              </w:rPr>
              <w:t>化工工艺</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9B7DBA4">
            <w:pPr>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szCs w:val="21"/>
                <w:lang w:val="en-US" w:eastAsia="zh-CN"/>
              </w:rPr>
              <w:t>035984/S011032000110192000988</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7DE0BE8A">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3962EAA0">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专职</w:t>
            </w:r>
          </w:p>
        </w:tc>
      </w:tr>
      <w:tr w14:paraId="3CB29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624E5DBF">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568A9351">
            <w:pPr>
              <w:jc w:val="center"/>
              <w:rPr>
                <w:rFonts w:hint="eastAsia" w:ascii="Times New Roman" w:hAnsi="Times New Roman" w:cs="Times New Roman" w:eastAsiaTheme="minorEastAsia"/>
                <w:szCs w:val="21"/>
                <w:lang w:val="en-US" w:eastAsia="zh-CN"/>
              </w:rPr>
            </w:pPr>
            <w:r>
              <w:rPr>
                <w:rFonts w:hint="default" w:ascii="Times New Roman" w:hAnsi="Times New Roman" w:cs="Times New Roman" w:eastAsiaTheme="minorEastAsia"/>
                <w:szCs w:val="21"/>
                <w:lang w:val="en-US" w:eastAsia="zh-CN"/>
              </w:rPr>
              <w:t>李祥太</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15872B96">
            <w:pPr>
              <w:jc w:val="center"/>
              <w:rPr>
                <w:rFonts w:hint="eastAsia" w:ascii="Times New Roman" w:hAnsi="Times New Roman" w:cs="Times New Roman" w:eastAsiaTheme="minorEastAsia"/>
                <w:szCs w:val="21"/>
                <w:lang w:val="en-US" w:eastAsia="zh-CN"/>
              </w:rPr>
            </w:pPr>
            <w:r>
              <w:rPr>
                <w:rFonts w:hint="default" w:ascii="Times New Roman" w:hAnsi="Times New Roman" w:cs="Times New Roman" w:eastAsiaTheme="minorEastAsia"/>
                <w:szCs w:val="21"/>
                <w:lang w:val="en-US" w:eastAsia="zh-CN"/>
              </w:rPr>
              <w:t>化工工艺</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93249B4">
            <w:pPr>
              <w:jc w:val="center"/>
              <w:rPr>
                <w:rFonts w:hint="eastAsia" w:ascii="Times New Roman" w:hAnsi="Times New Roman" w:cs="Times New Roman" w:eastAsiaTheme="minorEastAsia"/>
                <w:szCs w:val="21"/>
                <w:lang w:val="en-US" w:eastAsia="zh-CN"/>
              </w:rPr>
            </w:pPr>
            <w:r>
              <w:rPr>
                <w:rFonts w:hint="eastAsia" w:ascii="Times New Roman" w:hAnsi="Times New Roman" w:cs="Times New Roman" w:eastAsiaTheme="minorEastAsia"/>
                <w:szCs w:val="21"/>
                <w:lang w:val="en-US" w:eastAsia="zh-CN"/>
              </w:rPr>
              <w:t>035985/S011032000110192001139</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67CA2D63">
            <w:pPr>
              <w:jc w:val="center"/>
              <w:rPr>
                <w:rFonts w:hint="default" w:ascii="Times New Roman" w:hAnsi="Times New Roman" w:cs="Times New Roman" w:eastAsiaTheme="minorEastAsia"/>
                <w:szCs w:val="21"/>
                <w:lang w:val="en-US" w:eastAsia="zh-CN"/>
              </w:rPr>
            </w:pPr>
            <w:r>
              <w:rPr>
                <w:rFonts w:hint="eastAsia" w:ascii="Times New Roman" w:hAnsi="Times New Roman" w:cs="Times New Roman" w:eastAsiaTheme="minorEastAsia"/>
                <w:szCs w:val="21"/>
                <w:lang w:val="en-US" w:eastAsia="zh-CN"/>
              </w:rPr>
              <w:t>42200248765</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26796DF7">
            <w:pPr>
              <w:jc w:val="center"/>
              <w:rPr>
                <w:rFonts w:hint="default" w:ascii="Times New Roman" w:hAnsi="Times New Roman" w:cs="Times New Roman" w:eastAsiaTheme="minorEastAsia"/>
                <w:szCs w:val="21"/>
                <w:lang w:val="en-US" w:eastAsia="zh-CN"/>
              </w:rPr>
            </w:pPr>
            <w:r>
              <w:rPr>
                <w:rFonts w:hint="default" w:ascii="Times New Roman" w:hAnsi="Times New Roman" w:cs="Times New Roman" w:eastAsiaTheme="minorEastAsia"/>
                <w:szCs w:val="21"/>
                <w:lang w:val="en-US" w:eastAsia="zh-CN"/>
              </w:rPr>
              <w:t>专职</w:t>
            </w:r>
          </w:p>
        </w:tc>
      </w:tr>
      <w:tr w14:paraId="32045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222363E8">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0DD958E7">
            <w:pPr>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余海波</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35F09BEB">
            <w:pPr>
              <w:jc w:val="center"/>
              <w:rPr>
                <w:rFonts w:hint="eastAsia" w:ascii="Times New Roman" w:hAnsi="Times New Roman" w:cs="Times New Roman" w:eastAsiaTheme="minorEastAsia"/>
                <w:kern w:val="2"/>
                <w:sz w:val="21"/>
                <w:szCs w:val="21"/>
                <w:lang w:val="en-US" w:eastAsia="zh-CN" w:bidi="ar-SA"/>
              </w:rPr>
            </w:pPr>
            <w:r>
              <w:rPr>
                <w:rFonts w:ascii="Times New Roman" w:hAnsi="Times New Roman" w:cs="Times New Roman"/>
                <w:color w:val="auto"/>
                <w:szCs w:val="24"/>
                <w:highlight w:val="none"/>
              </w:rPr>
              <w:t>机械</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F7B3AB6">
            <w:pPr>
              <w:jc w:val="center"/>
              <w:rPr>
                <w:rFonts w:hint="eastAsia" w:ascii="Times New Roman" w:hAnsi="Times New Roman" w:cs="Times New Roman" w:eastAsiaTheme="minorEastAsia"/>
                <w:kern w:val="2"/>
                <w:sz w:val="21"/>
                <w:szCs w:val="21"/>
                <w:lang w:val="en-US" w:eastAsia="zh-CN" w:bidi="ar-SA"/>
              </w:rPr>
            </w:pPr>
            <w:r>
              <w:rPr>
                <w:rFonts w:ascii="Times New Roman" w:hAnsi="Times New Roman" w:cs="Times New Roman"/>
                <w:color w:val="auto"/>
                <w:szCs w:val="24"/>
                <w:highlight w:val="none"/>
              </w:rPr>
              <w:t>036169</w:t>
            </w:r>
            <w:r>
              <w:rPr>
                <w:rFonts w:hint="eastAsia" w:ascii="Times New Roman" w:hAnsi="Times New Roman" w:cs="Times New Roman"/>
                <w:color w:val="auto"/>
                <w:szCs w:val="24"/>
                <w:highlight w:val="none"/>
                <w:lang w:val="en-US" w:eastAsia="zh-CN"/>
              </w:rPr>
              <w:t>/</w:t>
            </w:r>
            <w:r>
              <w:rPr>
                <w:rFonts w:ascii="Times New Roman" w:hAnsi="Times New Roman" w:cs="Times New Roman"/>
                <w:color w:val="auto"/>
                <w:szCs w:val="24"/>
                <w:highlight w:val="none"/>
              </w:rPr>
              <w:t>S011032000110193001025</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6E5034C0">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kern w:val="2"/>
                <w:sz w:val="21"/>
                <w:szCs w:val="21"/>
                <w:lang w:val="en-US" w:eastAsia="zh-CN" w:bidi="ar-SA"/>
              </w:rPr>
              <w:t>42220298195</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097AA8A2">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专职</w:t>
            </w:r>
          </w:p>
        </w:tc>
      </w:tr>
      <w:tr w14:paraId="17762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1E0FBCA5">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25C953A8">
            <w:pPr>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王冬梅</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2C965560">
            <w:pPr>
              <w:jc w:val="center"/>
              <w:rPr>
                <w:rFonts w:hint="eastAsia" w:ascii="Times New Roman" w:hAnsi="Times New Roman" w:cs="Times New Roman"/>
                <w:color w:val="auto"/>
                <w:szCs w:val="24"/>
                <w:highlight w:val="none"/>
                <w:lang w:val="en-US" w:eastAsia="zh-CN"/>
              </w:rPr>
            </w:pPr>
            <w:r>
              <w:rPr>
                <w:rFonts w:hint="eastAsia" w:ascii="Times New Roman" w:hAnsi="Times New Roman" w:cs="Times New Roman"/>
                <w:color w:val="auto"/>
                <w:szCs w:val="24"/>
                <w:highlight w:val="none"/>
                <w:lang w:val="en-US" w:eastAsia="zh-CN"/>
              </w:rPr>
              <w:t>化工工艺</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4642424">
            <w:pPr>
              <w:jc w:val="center"/>
              <w:rPr>
                <w:rFonts w:hint="eastAsia" w:ascii="Times New Roman" w:hAnsi="Times New Roman" w:cs="Times New Roman"/>
                <w:color w:val="auto"/>
                <w:szCs w:val="24"/>
                <w:highlight w:val="none"/>
                <w:lang w:val="en-US" w:eastAsia="zh-CN"/>
              </w:rPr>
            </w:pPr>
            <w:r>
              <w:rPr>
                <w:rFonts w:hint="eastAsia" w:ascii="Times New Roman" w:hAnsi="Times New Roman" w:cs="Times New Roman"/>
                <w:color w:val="auto"/>
                <w:szCs w:val="24"/>
                <w:highlight w:val="none"/>
                <w:lang w:val="en-US" w:eastAsia="zh-CN"/>
              </w:rPr>
              <w:t>030942/S011032000110191000567</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51DA134B">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kern w:val="2"/>
                <w:sz w:val="21"/>
                <w:szCs w:val="21"/>
                <w:lang w:val="en-US" w:eastAsia="zh-CN" w:bidi="ar-SA"/>
              </w:rPr>
              <w:t>42180175741</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664452A2">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专职</w:t>
            </w:r>
          </w:p>
        </w:tc>
      </w:tr>
      <w:tr w14:paraId="1F46F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23C99E6A">
            <w:pPr>
              <w:adjustRightInd w:val="0"/>
              <w:snapToGrid w:val="0"/>
              <w:jc w:val="center"/>
              <w:rPr>
                <w:rFonts w:ascii="Times New Roman" w:hAnsi="Times New Roman" w:eastAsia="宋体" w:cs="Times New Roman"/>
                <w:szCs w:val="21"/>
              </w:rPr>
            </w:pPr>
            <w:r>
              <w:rPr>
                <w:rFonts w:ascii="Times New Roman" w:hAnsi="Times New Roman" w:eastAsia="宋体" w:cs="Times New Roman"/>
                <w:b/>
                <w:szCs w:val="21"/>
              </w:rPr>
              <w:t>项目简介</w:t>
            </w:r>
          </w:p>
        </w:tc>
      </w:tr>
      <w:tr w14:paraId="1D650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1102EA4B">
            <w:pPr>
              <w:keepNext w:val="0"/>
              <w:keepLines w:val="0"/>
              <w:pageBreakBefore w:val="0"/>
              <w:widowControl w:val="0"/>
              <w:kinsoku/>
              <w:wordWrap/>
              <w:overflowPunct/>
              <w:topLinePunct w:val="0"/>
              <w:autoSpaceDE/>
              <w:autoSpaceDN/>
              <w:bidi w:val="0"/>
              <w:adjustRightInd w:val="0"/>
              <w:snapToGrid w:val="0"/>
              <w:ind w:firstLine="420" w:firstLineChars="200"/>
              <w:jc w:val="both"/>
              <w:textAlignment w:val="auto"/>
              <w:rPr>
                <w:rFonts w:hint="eastAsia"/>
              </w:rPr>
            </w:pPr>
            <w:r>
              <w:rPr>
                <w:rFonts w:hint="eastAsia"/>
              </w:rPr>
              <w:t>华鲁恒升（荆州）有限公司成立于2020年11月19日，由华鲁恒升（持股70%）、香港华鲁（持股20%）、华鲁投资发展有限公司（持股10%）共同出资设立，以优化国内战略布局，积极推动跨区域发展，将华鲁恒升荆州基地尽快建设成为园区化、智能化、高端化、终端化“四化一体”的现代煤化工标杆企业，做强做优新型煤化工和化工新材料主业，进一步提升企业竞争力。</w:t>
            </w:r>
          </w:p>
          <w:p w14:paraId="3C303805">
            <w:pPr>
              <w:keepNext w:val="0"/>
              <w:keepLines w:val="0"/>
              <w:pageBreakBefore w:val="0"/>
              <w:widowControl w:val="0"/>
              <w:kinsoku/>
              <w:wordWrap/>
              <w:overflowPunct/>
              <w:topLinePunct w:val="0"/>
              <w:autoSpaceDE/>
              <w:autoSpaceDN/>
              <w:bidi w:val="0"/>
              <w:adjustRightInd w:val="0"/>
              <w:snapToGrid w:val="0"/>
              <w:ind w:firstLine="420" w:firstLineChars="200"/>
              <w:jc w:val="both"/>
              <w:textAlignment w:val="auto"/>
              <w:rPr>
                <w:rFonts w:hint="eastAsia"/>
              </w:rPr>
            </w:pPr>
            <w:r>
              <w:rPr>
                <w:rFonts w:hint="eastAsia"/>
              </w:rPr>
              <w:t>华鲁恒升（荆州）有限公司在江陵县化工园区内建设蜜胺树脂单体材料原料及产品优化提升项目，该项目以华鲁恒升（荆州）有限公司合成气综合利用项目生产的液氨和二氧化碳为原料生产熔融尿素，生产出来的尿素一部分用作蜜胺树脂单体材料的合成原料，一部分生产柴油机尾气清洁剂，剩下的生产功能性肥料。。</w:t>
            </w:r>
          </w:p>
        </w:tc>
      </w:tr>
      <w:tr w14:paraId="08063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51312D7F">
            <w:pPr>
              <w:pStyle w:val="6"/>
              <w:adjustRightInd w:val="0"/>
              <w:snapToGrid w:val="0"/>
              <w:spacing w:beforeAutospacing="0" w:afterAutospacing="0"/>
              <w:jc w:val="center"/>
              <w:rPr>
                <w:rFonts w:hint="default" w:ascii="Times New Roman" w:hAnsi="Times New Roman"/>
                <w:bCs/>
                <w:kern w:val="2"/>
                <w:sz w:val="21"/>
                <w:szCs w:val="21"/>
              </w:rPr>
            </w:pPr>
            <w:r>
              <w:rPr>
                <w:rFonts w:hint="default" w:ascii="Times New Roman" w:hAnsi="Times New Roman"/>
                <w:b/>
                <w:kern w:val="2"/>
                <w:sz w:val="21"/>
                <w:szCs w:val="21"/>
              </w:rPr>
              <w:t>现场开展工作情况</w:t>
            </w:r>
          </w:p>
        </w:tc>
      </w:tr>
      <w:tr w14:paraId="500DE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4632AD59">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勘察人员</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0809D87A">
            <w:pPr>
              <w:adjustRightInd w:val="0"/>
              <w:snapToGrid w:val="0"/>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鲁小芳、夏鹏、周智鑫</w:t>
            </w:r>
          </w:p>
        </w:tc>
      </w:tr>
      <w:tr w14:paraId="2B361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16699135">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勘察时间</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25B3D4A6">
            <w:pPr>
              <w:adjustRightInd w:val="0"/>
              <w:snapToGrid w:val="0"/>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highlight w:val="none"/>
                <w:lang w:val="en-US" w:eastAsia="zh-CN"/>
              </w:rPr>
              <w:t>首次勘察2025.1.3  复查2025.9.20</w:t>
            </w:r>
          </w:p>
        </w:tc>
      </w:tr>
      <w:tr w14:paraId="3DF08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37B3307F">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勘察任务</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429171C3">
            <w:pPr>
              <w:adjustRightInd w:val="0"/>
              <w:snapToGrid w:val="0"/>
              <w:jc w:val="center"/>
              <w:rPr>
                <w:rFonts w:ascii="Times New Roman" w:hAnsi="Times New Roman" w:eastAsia="宋体" w:cs="Times New Roman"/>
                <w:b/>
                <w:szCs w:val="21"/>
              </w:rPr>
            </w:pPr>
            <w:r>
              <w:rPr>
                <w:rFonts w:ascii="Times New Roman" w:hAnsi="Times New Roman" w:cs="Times New Roman"/>
                <w:szCs w:val="21"/>
              </w:rPr>
              <w:t>现场勘查、收集并核实业主单位提供的安全评价相关资料</w:t>
            </w:r>
          </w:p>
        </w:tc>
      </w:tr>
      <w:tr w14:paraId="63148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1AC094AB">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勘察中发</w:t>
            </w:r>
          </w:p>
          <w:p w14:paraId="04B59020">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现的问题</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3CF84A75">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default" w:ascii="宋体" w:hAnsi="宋体" w:eastAsia="宋体" w:cs="宋体"/>
                <w:kern w:val="0"/>
                <w:sz w:val="21"/>
                <w:szCs w:val="21"/>
                <w:lang w:val="en-US" w:eastAsia="zh-CN" w:bidi="ar"/>
              </w:rPr>
            </w:pPr>
            <w:r>
              <w:rPr>
                <w:rFonts w:hint="default" w:ascii="宋体" w:hAnsi="宋体" w:eastAsia="宋体" w:cs="宋体"/>
                <w:kern w:val="0"/>
                <w:sz w:val="21"/>
                <w:szCs w:val="21"/>
                <w:lang w:val="en-US" w:eastAsia="zh-CN" w:bidi="ar"/>
              </w:rPr>
              <w:t>1.尿素主装置一楼爆炸危险区域内检修使用的接线盘不防爆，需撤离爆炸危险区域或使用防爆设备。</w:t>
            </w:r>
          </w:p>
          <w:p w14:paraId="095F9D1B">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default" w:ascii="宋体" w:hAnsi="宋体" w:eastAsia="宋体" w:cs="宋体"/>
                <w:kern w:val="0"/>
                <w:sz w:val="21"/>
                <w:szCs w:val="21"/>
                <w:lang w:val="en-US" w:eastAsia="zh-CN" w:bidi="ar"/>
              </w:rPr>
            </w:pPr>
            <w:r>
              <w:rPr>
                <w:rFonts w:hint="default" w:ascii="宋体" w:hAnsi="宋体" w:eastAsia="宋体" w:cs="宋体"/>
                <w:kern w:val="0"/>
                <w:sz w:val="21"/>
                <w:szCs w:val="21"/>
                <w:lang w:val="en-US" w:eastAsia="zh-CN" w:bidi="ar"/>
              </w:rPr>
              <w:t>2.尿素主装置部分防爆电气接线箱为使用螺栓紧固、封闭，需紧固到位确保密闭性。</w:t>
            </w:r>
          </w:p>
          <w:p w14:paraId="1400757C">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default" w:ascii="宋体" w:hAnsi="宋体" w:eastAsia="宋体" w:cs="宋体"/>
                <w:kern w:val="0"/>
                <w:sz w:val="21"/>
                <w:szCs w:val="21"/>
                <w:lang w:val="en-US" w:eastAsia="zh-CN" w:bidi="ar"/>
              </w:rPr>
            </w:pPr>
            <w:r>
              <w:rPr>
                <w:rFonts w:hint="default" w:ascii="宋体" w:hAnsi="宋体" w:eastAsia="宋体" w:cs="宋体"/>
                <w:kern w:val="0"/>
                <w:sz w:val="21"/>
                <w:szCs w:val="21"/>
                <w:lang w:val="en-US" w:eastAsia="zh-CN" w:bidi="ar"/>
              </w:rPr>
              <w:t>3.二氧化碳压缩车间内地沟部分盖板缺失，存在踩空风险，需补足盖板。</w:t>
            </w:r>
          </w:p>
          <w:p w14:paraId="27FD5772">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default" w:ascii="宋体" w:hAnsi="宋体" w:eastAsia="宋体" w:cs="宋体"/>
                <w:kern w:val="0"/>
                <w:sz w:val="21"/>
                <w:szCs w:val="21"/>
                <w:lang w:val="en-US" w:eastAsia="zh-CN" w:bidi="ar"/>
              </w:rPr>
            </w:pPr>
            <w:r>
              <w:rPr>
                <w:rFonts w:hint="default" w:ascii="宋体" w:hAnsi="宋体" w:eastAsia="宋体" w:cs="宋体"/>
                <w:kern w:val="0"/>
                <w:sz w:val="21"/>
                <w:szCs w:val="21"/>
                <w:lang w:val="en-US" w:eastAsia="zh-CN" w:bidi="ar"/>
              </w:rPr>
              <w:t>4.二氧化碳压缩车间外在线监测小屋部分图纸未画，需完善竣工图。</w:t>
            </w:r>
          </w:p>
          <w:p w14:paraId="53262DD9">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default" w:ascii="宋体" w:hAnsi="宋体" w:eastAsia="宋体" w:cs="宋体"/>
                <w:kern w:val="0"/>
                <w:sz w:val="21"/>
                <w:szCs w:val="21"/>
                <w:lang w:val="en-US" w:eastAsia="zh-CN" w:bidi="ar"/>
              </w:rPr>
            </w:pPr>
            <w:r>
              <w:rPr>
                <w:rFonts w:hint="default" w:ascii="宋体" w:hAnsi="宋体" w:eastAsia="宋体" w:cs="宋体"/>
                <w:kern w:val="0"/>
                <w:sz w:val="21"/>
                <w:szCs w:val="21"/>
                <w:lang w:val="en-US" w:eastAsia="zh-CN" w:bidi="ar"/>
              </w:rPr>
              <w:t>5.二氧化碳压缩车间外在线监测小屋旁暂存了备用氢气、氮气气瓶且瓶帽缺失。</w:t>
            </w:r>
          </w:p>
          <w:p w14:paraId="46297C32">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default" w:ascii="宋体" w:hAnsi="宋体" w:eastAsia="宋体" w:cs="宋体"/>
                <w:kern w:val="0"/>
                <w:sz w:val="21"/>
                <w:szCs w:val="21"/>
                <w:lang w:val="en-US" w:eastAsia="zh-CN" w:bidi="ar"/>
              </w:rPr>
            </w:pPr>
            <w:r>
              <w:rPr>
                <w:rFonts w:hint="default" w:ascii="宋体" w:hAnsi="宋体" w:eastAsia="宋体" w:cs="宋体"/>
                <w:kern w:val="0"/>
                <w:sz w:val="21"/>
                <w:szCs w:val="21"/>
                <w:lang w:val="en-US" w:eastAsia="zh-CN" w:bidi="ar"/>
              </w:rPr>
              <w:t>6.尿素包装楼内分隔包装区和辅助区（含内操、休息室）的防火门未常闭，应保持防火门常闭。</w:t>
            </w:r>
          </w:p>
          <w:p w14:paraId="50BF8459">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default" w:ascii="宋体" w:hAnsi="宋体" w:eastAsia="宋体" w:cs="宋体"/>
                <w:kern w:val="0"/>
                <w:sz w:val="21"/>
                <w:szCs w:val="21"/>
                <w:lang w:val="en-US" w:eastAsia="zh-CN" w:bidi="ar"/>
              </w:rPr>
            </w:pPr>
            <w:r>
              <w:rPr>
                <w:rFonts w:hint="default" w:ascii="宋体" w:hAnsi="宋体" w:eastAsia="宋体" w:cs="宋体"/>
                <w:kern w:val="0"/>
                <w:sz w:val="21"/>
                <w:szCs w:val="21"/>
                <w:lang w:val="en-US" w:eastAsia="zh-CN" w:bidi="ar"/>
              </w:rPr>
              <w:t>7.尿素主装置旁的柴油机尾气清洁剂装置未完成施工。</w:t>
            </w:r>
          </w:p>
          <w:p w14:paraId="662951AD">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default" w:ascii="宋体" w:hAnsi="宋体" w:eastAsia="宋体" w:cs="宋体"/>
                <w:kern w:val="0"/>
                <w:sz w:val="21"/>
                <w:szCs w:val="21"/>
                <w:lang w:val="en-US" w:eastAsia="zh-CN" w:bidi="ar"/>
              </w:rPr>
            </w:pPr>
            <w:r>
              <w:rPr>
                <w:rFonts w:hint="default" w:ascii="宋体" w:hAnsi="宋体" w:eastAsia="宋体" w:cs="宋体"/>
                <w:kern w:val="0"/>
                <w:sz w:val="21"/>
                <w:szCs w:val="21"/>
                <w:lang w:val="en-US" w:eastAsia="zh-CN" w:bidi="ar"/>
              </w:rPr>
              <w:t>8.斗提机打滑报警联锁目前已切除，与专篇不一致。</w:t>
            </w:r>
          </w:p>
          <w:p w14:paraId="74B2712D">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default" w:ascii="宋体" w:hAnsi="宋体" w:eastAsia="宋体" w:cs="宋体"/>
                <w:kern w:val="0"/>
                <w:sz w:val="21"/>
                <w:szCs w:val="21"/>
                <w:lang w:val="en-US" w:eastAsia="zh-CN" w:bidi="ar"/>
              </w:rPr>
            </w:pPr>
            <w:r>
              <w:rPr>
                <w:rFonts w:hint="default" w:ascii="宋体" w:hAnsi="宋体" w:eastAsia="宋体" w:cs="宋体"/>
                <w:kern w:val="0"/>
                <w:sz w:val="21"/>
                <w:szCs w:val="21"/>
                <w:lang w:val="en-US" w:eastAsia="zh-CN" w:bidi="ar"/>
              </w:rPr>
              <w:t>9.SIS联锁中二氧化碳脱氢反应器温度高高联锁（位号161TZSHH-0205A）未上，需根据SIL定级等报告核实是否需要采用该联锁。</w:t>
            </w:r>
          </w:p>
        </w:tc>
      </w:tr>
      <w:tr w14:paraId="058C2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10C37A49">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评价项目其他信息</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682CFB96">
            <w:pPr>
              <w:bidi w:val="0"/>
              <w:rPr>
                <w:rFonts w:hint="eastAsia"/>
                <w:lang w:val="en-US" w:eastAsia="zh-CN"/>
              </w:rPr>
            </w:pPr>
            <w:r>
              <w:rPr>
                <w:rFonts w:hint="eastAsia"/>
                <w:b w:val="0"/>
                <w:bCs w:val="0"/>
                <w:color w:val="auto"/>
                <w:lang w:eastAsia="zh-CN"/>
              </w:rPr>
              <w:drawing>
                <wp:inline distT="0" distB="0" distL="114300" distR="114300">
                  <wp:extent cx="2484755" cy="2879725"/>
                  <wp:effectExtent l="0" t="0" r="10795" b="15875"/>
                  <wp:docPr id="2" name="图片 2" descr="IMG_20250103_110310"/>
                  <wp:cNvGraphicFramePr/>
                  <a:graphic xmlns:a="http://schemas.openxmlformats.org/drawingml/2006/main">
                    <a:graphicData uri="http://schemas.openxmlformats.org/drawingml/2006/picture">
                      <pic:pic xmlns:pic="http://schemas.openxmlformats.org/drawingml/2006/picture">
                        <pic:nvPicPr>
                          <pic:cNvPr id="2" name="图片 2" descr="IMG_20250103_110310"/>
                          <pic:cNvPicPr/>
                        </pic:nvPicPr>
                        <pic:blipFill>
                          <a:blip r:embed="rId4"/>
                          <a:stretch>
                            <a:fillRect/>
                          </a:stretch>
                        </pic:blipFill>
                        <pic:spPr>
                          <a:xfrm>
                            <a:off x="0" y="0"/>
                            <a:ext cx="2484755" cy="2879725"/>
                          </a:xfrm>
                          <a:prstGeom prst="rect">
                            <a:avLst/>
                          </a:prstGeom>
                        </pic:spPr>
                      </pic:pic>
                    </a:graphicData>
                  </a:graphic>
                </wp:inline>
              </w:drawing>
            </w:r>
            <w:r>
              <w:rPr>
                <w:rFonts w:hint="eastAsia"/>
                <w:b w:val="0"/>
                <w:bCs w:val="0"/>
                <w:color w:val="auto"/>
                <w:lang w:eastAsia="zh-CN"/>
              </w:rPr>
              <w:drawing>
                <wp:inline distT="0" distB="0" distL="114300" distR="114300">
                  <wp:extent cx="2721610" cy="2879725"/>
                  <wp:effectExtent l="0" t="0" r="2540" b="15875"/>
                  <wp:docPr id="194" name="图片 194" descr="9b0e2fc967958abe20074897ef770b8c"/>
                  <wp:cNvGraphicFramePr/>
                  <a:graphic xmlns:a="http://schemas.openxmlformats.org/drawingml/2006/main">
                    <a:graphicData uri="http://schemas.openxmlformats.org/drawingml/2006/picture">
                      <pic:pic xmlns:pic="http://schemas.openxmlformats.org/drawingml/2006/picture">
                        <pic:nvPicPr>
                          <pic:cNvPr id="194" name="图片 194" descr="9b0e2fc967958abe20074897ef770b8c"/>
                          <pic:cNvPicPr/>
                        </pic:nvPicPr>
                        <pic:blipFill>
                          <a:blip r:embed="rId5"/>
                          <a:stretch>
                            <a:fillRect/>
                          </a:stretch>
                        </pic:blipFill>
                        <pic:spPr>
                          <a:xfrm>
                            <a:off x="0" y="0"/>
                            <a:ext cx="2721610" cy="2879725"/>
                          </a:xfrm>
                          <a:prstGeom prst="rect">
                            <a:avLst/>
                          </a:prstGeom>
                        </pic:spPr>
                      </pic:pic>
                    </a:graphicData>
                  </a:graphic>
                </wp:inline>
              </w:drawing>
            </w:r>
            <w:r>
              <w:rPr>
                <w:rFonts w:hint="eastAsia"/>
                <w:b w:val="0"/>
                <w:bCs w:val="0"/>
                <w:color w:val="auto"/>
                <w:lang w:eastAsia="zh-CN"/>
              </w:rPr>
              <w:drawing>
                <wp:inline distT="0" distB="0" distL="114300" distR="114300">
                  <wp:extent cx="2529205" cy="2901950"/>
                  <wp:effectExtent l="0" t="0" r="4445" b="12700"/>
                  <wp:docPr id="195" name="图片 195" descr="4f99bf659338fdfb250c061958ff79f1"/>
                  <wp:cNvGraphicFramePr/>
                  <a:graphic xmlns:a="http://schemas.openxmlformats.org/drawingml/2006/main">
                    <a:graphicData uri="http://schemas.openxmlformats.org/drawingml/2006/picture">
                      <pic:pic xmlns:pic="http://schemas.openxmlformats.org/drawingml/2006/picture">
                        <pic:nvPicPr>
                          <pic:cNvPr id="195" name="图片 195" descr="4f99bf659338fdfb250c061958ff79f1"/>
                          <pic:cNvPicPr/>
                        </pic:nvPicPr>
                        <pic:blipFill>
                          <a:blip r:embed="rId6"/>
                          <a:stretch>
                            <a:fillRect/>
                          </a:stretch>
                        </pic:blipFill>
                        <pic:spPr>
                          <a:xfrm>
                            <a:off x="0" y="0"/>
                            <a:ext cx="2529205" cy="2901950"/>
                          </a:xfrm>
                          <a:prstGeom prst="rect">
                            <a:avLst/>
                          </a:prstGeom>
                        </pic:spPr>
                      </pic:pic>
                    </a:graphicData>
                  </a:graphic>
                </wp:inline>
              </w:drawing>
            </w:r>
            <w:r>
              <w:rPr>
                <w:rFonts w:hint="eastAsia"/>
                <w:b w:val="0"/>
                <w:bCs w:val="0"/>
                <w:color w:val="auto"/>
                <w:lang w:eastAsia="zh-CN"/>
              </w:rPr>
              <w:drawing>
                <wp:inline distT="0" distB="0" distL="114300" distR="114300">
                  <wp:extent cx="2702560" cy="2879725"/>
                  <wp:effectExtent l="0" t="0" r="2540" b="15875"/>
                  <wp:docPr id="196" name="图片 196" descr="IMG_20250103_142048"/>
                  <wp:cNvGraphicFramePr/>
                  <a:graphic xmlns:a="http://schemas.openxmlformats.org/drawingml/2006/main">
                    <a:graphicData uri="http://schemas.openxmlformats.org/drawingml/2006/picture">
                      <pic:pic xmlns:pic="http://schemas.openxmlformats.org/drawingml/2006/picture">
                        <pic:nvPicPr>
                          <pic:cNvPr id="196" name="图片 196" descr="IMG_20250103_142048"/>
                          <pic:cNvPicPr/>
                        </pic:nvPicPr>
                        <pic:blipFill>
                          <a:blip r:embed="rId7"/>
                          <a:stretch>
                            <a:fillRect/>
                          </a:stretch>
                        </pic:blipFill>
                        <pic:spPr>
                          <a:xfrm>
                            <a:off x="0" y="0"/>
                            <a:ext cx="2702560" cy="2879725"/>
                          </a:xfrm>
                          <a:prstGeom prst="rect">
                            <a:avLst/>
                          </a:prstGeom>
                        </pic:spPr>
                      </pic:pic>
                    </a:graphicData>
                  </a:graphic>
                </wp:inline>
              </w:drawing>
            </w:r>
            <w:r>
              <w:rPr>
                <w:rFonts w:hint="eastAsia"/>
                <w:b w:val="0"/>
                <w:bCs w:val="0"/>
                <w:color w:val="auto"/>
                <w:lang w:eastAsia="zh-CN"/>
              </w:rPr>
              <w:drawing>
                <wp:inline distT="0" distB="0" distL="114300" distR="114300">
                  <wp:extent cx="2559050" cy="2980055"/>
                  <wp:effectExtent l="0" t="0" r="12700" b="10795"/>
                  <wp:docPr id="1" name="图片 1" descr="28f2097cf86626e47dc3b8cfb852181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8f2097cf86626e47dc3b8cfb852181e"/>
                          <pic:cNvPicPr>
                            <a:picLocks noChangeAspect="1"/>
                          </pic:cNvPicPr>
                        </pic:nvPicPr>
                        <pic:blipFill>
                          <a:blip r:embed="rId8"/>
                          <a:stretch>
                            <a:fillRect/>
                          </a:stretch>
                        </pic:blipFill>
                        <pic:spPr>
                          <a:xfrm>
                            <a:off x="0" y="0"/>
                            <a:ext cx="2559050" cy="2980055"/>
                          </a:xfrm>
                          <a:prstGeom prst="rect">
                            <a:avLst/>
                          </a:prstGeom>
                        </pic:spPr>
                      </pic:pic>
                    </a:graphicData>
                  </a:graphic>
                </wp:inline>
              </w:drawing>
            </w:r>
            <w:r>
              <w:rPr>
                <w:rFonts w:hint="eastAsia"/>
                <w:b w:val="0"/>
                <w:bCs w:val="0"/>
                <w:color w:val="auto"/>
                <w:lang w:eastAsia="zh-CN"/>
              </w:rPr>
              <w:drawing>
                <wp:inline distT="0" distB="0" distL="114300" distR="114300">
                  <wp:extent cx="2674620" cy="2981960"/>
                  <wp:effectExtent l="0" t="0" r="11430" b="8890"/>
                  <wp:docPr id="197" name="图片 197" descr="IMG_20250103_142427"/>
                  <wp:cNvGraphicFramePr/>
                  <a:graphic xmlns:a="http://schemas.openxmlformats.org/drawingml/2006/main">
                    <a:graphicData uri="http://schemas.openxmlformats.org/drawingml/2006/picture">
                      <pic:pic xmlns:pic="http://schemas.openxmlformats.org/drawingml/2006/picture">
                        <pic:nvPicPr>
                          <pic:cNvPr id="197" name="图片 197" descr="IMG_20250103_142427"/>
                          <pic:cNvPicPr/>
                        </pic:nvPicPr>
                        <pic:blipFill>
                          <a:blip r:embed="rId9"/>
                          <a:stretch>
                            <a:fillRect/>
                          </a:stretch>
                        </pic:blipFill>
                        <pic:spPr>
                          <a:xfrm>
                            <a:off x="0" y="0"/>
                            <a:ext cx="2674620" cy="2981960"/>
                          </a:xfrm>
                          <a:prstGeom prst="rect">
                            <a:avLst/>
                          </a:prstGeom>
                        </pic:spPr>
                      </pic:pic>
                    </a:graphicData>
                  </a:graphic>
                </wp:inline>
              </w:drawing>
            </w:r>
          </w:p>
        </w:tc>
      </w:tr>
    </w:tbl>
    <w:p w14:paraId="67CEBA0E"/>
    <w:sectPr>
      <w:pgSz w:w="12240" w:h="15840"/>
      <w:pgMar w:top="1440" w:right="1800" w:bottom="1440" w:left="1800" w:header="720" w:footer="72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2"/>
  </w:compat>
  <w:docVars>
    <w:docVar w:name="commondata" w:val="eyJoZGlkIjoiMmE5MjA2NTc2MmMwNzRhMTQzMTVkYzI3YThmZWIzZTcifQ=="/>
  </w:docVars>
  <w:rsids>
    <w:rsidRoot w:val="00C32FF9"/>
    <w:rsid w:val="00035D91"/>
    <w:rsid w:val="0006644B"/>
    <w:rsid w:val="0007789C"/>
    <w:rsid w:val="0008447B"/>
    <w:rsid w:val="000C019E"/>
    <w:rsid w:val="000F0D1F"/>
    <w:rsid w:val="001A2140"/>
    <w:rsid w:val="00216717"/>
    <w:rsid w:val="002252BB"/>
    <w:rsid w:val="002452E5"/>
    <w:rsid w:val="00260342"/>
    <w:rsid w:val="002836F3"/>
    <w:rsid w:val="003306E1"/>
    <w:rsid w:val="0033323F"/>
    <w:rsid w:val="00333C8D"/>
    <w:rsid w:val="00363F20"/>
    <w:rsid w:val="003A4866"/>
    <w:rsid w:val="003C11AC"/>
    <w:rsid w:val="00441ECF"/>
    <w:rsid w:val="00443F57"/>
    <w:rsid w:val="004552F3"/>
    <w:rsid w:val="00472297"/>
    <w:rsid w:val="004D16FD"/>
    <w:rsid w:val="004E3860"/>
    <w:rsid w:val="00503B5C"/>
    <w:rsid w:val="00511CC8"/>
    <w:rsid w:val="00522843"/>
    <w:rsid w:val="00562DFB"/>
    <w:rsid w:val="005A2343"/>
    <w:rsid w:val="005E7254"/>
    <w:rsid w:val="005E7707"/>
    <w:rsid w:val="005F3542"/>
    <w:rsid w:val="00602EEA"/>
    <w:rsid w:val="00624703"/>
    <w:rsid w:val="0063569B"/>
    <w:rsid w:val="006C336F"/>
    <w:rsid w:val="006F7F1B"/>
    <w:rsid w:val="007057D1"/>
    <w:rsid w:val="007153A0"/>
    <w:rsid w:val="00721B3F"/>
    <w:rsid w:val="0072260B"/>
    <w:rsid w:val="00754407"/>
    <w:rsid w:val="00762B6B"/>
    <w:rsid w:val="007C40AE"/>
    <w:rsid w:val="0082314C"/>
    <w:rsid w:val="00850D90"/>
    <w:rsid w:val="0088430C"/>
    <w:rsid w:val="008A7027"/>
    <w:rsid w:val="008B6E31"/>
    <w:rsid w:val="008D11A5"/>
    <w:rsid w:val="00930DEA"/>
    <w:rsid w:val="009A0DE0"/>
    <w:rsid w:val="009C52DF"/>
    <w:rsid w:val="00A1528C"/>
    <w:rsid w:val="00A84ACB"/>
    <w:rsid w:val="00AA4740"/>
    <w:rsid w:val="00AC1F21"/>
    <w:rsid w:val="00B25996"/>
    <w:rsid w:val="00B269FD"/>
    <w:rsid w:val="00B6707E"/>
    <w:rsid w:val="00B75E9C"/>
    <w:rsid w:val="00BB7406"/>
    <w:rsid w:val="00BF1A1F"/>
    <w:rsid w:val="00BF1DB1"/>
    <w:rsid w:val="00C2459E"/>
    <w:rsid w:val="00C30872"/>
    <w:rsid w:val="00C32FF9"/>
    <w:rsid w:val="00C42AD8"/>
    <w:rsid w:val="00C457EC"/>
    <w:rsid w:val="00C62E8F"/>
    <w:rsid w:val="00CA77FF"/>
    <w:rsid w:val="00CD410D"/>
    <w:rsid w:val="00D255BC"/>
    <w:rsid w:val="00D42EC0"/>
    <w:rsid w:val="00D54E7F"/>
    <w:rsid w:val="00D85DBF"/>
    <w:rsid w:val="00DC2B70"/>
    <w:rsid w:val="00E0518A"/>
    <w:rsid w:val="00E0520C"/>
    <w:rsid w:val="00E13DF9"/>
    <w:rsid w:val="00E579F5"/>
    <w:rsid w:val="00E950D2"/>
    <w:rsid w:val="00EC685F"/>
    <w:rsid w:val="00EC6932"/>
    <w:rsid w:val="00ED2BA2"/>
    <w:rsid w:val="00F11F3B"/>
    <w:rsid w:val="00F30F60"/>
    <w:rsid w:val="00F31BE4"/>
    <w:rsid w:val="00F34C2B"/>
    <w:rsid w:val="00F54203"/>
    <w:rsid w:val="00F57A83"/>
    <w:rsid w:val="00FA03CB"/>
    <w:rsid w:val="00FB5DDF"/>
    <w:rsid w:val="056E6CB9"/>
    <w:rsid w:val="05E42AA5"/>
    <w:rsid w:val="0CC87E5D"/>
    <w:rsid w:val="0E40580F"/>
    <w:rsid w:val="15922A9A"/>
    <w:rsid w:val="1F2C72EF"/>
    <w:rsid w:val="2CD91527"/>
    <w:rsid w:val="39481A08"/>
    <w:rsid w:val="3998603B"/>
    <w:rsid w:val="3ED218E0"/>
    <w:rsid w:val="4365014E"/>
    <w:rsid w:val="44BC33A0"/>
    <w:rsid w:val="52EF330B"/>
    <w:rsid w:val="596D5608"/>
    <w:rsid w:val="5CB5012F"/>
    <w:rsid w:val="5D244D87"/>
    <w:rsid w:val="628B181E"/>
    <w:rsid w:val="63CE679E"/>
    <w:rsid w:val="6496505F"/>
    <w:rsid w:val="693C1907"/>
    <w:rsid w:val="6A213294"/>
    <w:rsid w:val="6C3C7313"/>
    <w:rsid w:val="71BE335E"/>
    <w:rsid w:val="76B72399"/>
    <w:rsid w:val="787D00C6"/>
    <w:rsid w:val="78A76481"/>
    <w:rsid w:val="7A794689"/>
    <w:rsid w:val="7ED113B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autoRedefine/>
    <w:semiHidden/>
    <w:unhideWhenUsed/>
    <w:qFormat/>
    <w:uiPriority w:val="1"/>
  </w:style>
  <w:style w:type="table" w:default="1" w:styleId="7">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1"/>
    <w:autoRedefine/>
    <w:qFormat/>
    <w:uiPriority w:val="0"/>
    <w:pPr>
      <w:spacing w:line="560" w:lineRule="exact"/>
    </w:pPr>
    <w:rPr>
      <w:sz w:val="24"/>
      <w:szCs w:val="20"/>
    </w:rPr>
  </w:style>
  <w:style w:type="paragraph" w:styleId="3">
    <w:name w:val="Balloon Text"/>
    <w:basedOn w:val="1"/>
    <w:link w:val="11"/>
    <w:autoRedefine/>
    <w:qFormat/>
    <w:uiPriority w:val="0"/>
    <w:rPr>
      <w:sz w:val="18"/>
      <w:szCs w:val="18"/>
    </w:rPr>
  </w:style>
  <w:style w:type="paragraph" w:styleId="4">
    <w:name w:val="footer"/>
    <w:basedOn w:val="1"/>
    <w:link w:val="10"/>
    <w:autoRedefine/>
    <w:qFormat/>
    <w:uiPriority w:val="0"/>
    <w:pPr>
      <w:tabs>
        <w:tab w:val="center" w:pos="4153"/>
        <w:tab w:val="right" w:pos="8306"/>
      </w:tabs>
      <w:snapToGrid w:val="0"/>
      <w:jc w:val="left"/>
    </w:pPr>
    <w:rPr>
      <w:sz w:val="18"/>
      <w:szCs w:val="18"/>
    </w:rPr>
  </w:style>
  <w:style w:type="paragraph" w:styleId="5">
    <w:name w:val="header"/>
    <w:basedOn w:val="1"/>
    <w:link w:val="9"/>
    <w:autoRedefine/>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autoRedefine/>
    <w:qFormat/>
    <w:uiPriority w:val="0"/>
    <w:pPr>
      <w:widowControl/>
      <w:spacing w:beforeAutospacing="1" w:afterAutospacing="1"/>
      <w:jc w:val="left"/>
    </w:pPr>
    <w:rPr>
      <w:rFonts w:hint="eastAsia" w:ascii="宋体" w:hAnsi="宋体" w:eastAsia="宋体" w:cs="Times New Roman"/>
      <w:kern w:val="0"/>
      <w:sz w:val="24"/>
    </w:rPr>
  </w:style>
  <w:style w:type="character" w:customStyle="1" w:styleId="9">
    <w:name w:val="页眉 Char"/>
    <w:basedOn w:val="8"/>
    <w:link w:val="5"/>
    <w:autoRedefine/>
    <w:qFormat/>
    <w:uiPriority w:val="0"/>
    <w:rPr>
      <w:rFonts w:asciiTheme="minorHAnsi" w:hAnsiTheme="minorHAnsi" w:eastAsiaTheme="minorEastAsia" w:cstheme="minorBidi"/>
      <w:kern w:val="2"/>
      <w:sz w:val="18"/>
      <w:szCs w:val="18"/>
    </w:rPr>
  </w:style>
  <w:style w:type="character" w:customStyle="1" w:styleId="10">
    <w:name w:val="页脚 Char"/>
    <w:basedOn w:val="8"/>
    <w:link w:val="4"/>
    <w:autoRedefine/>
    <w:qFormat/>
    <w:uiPriority w:val="0"/>
    <w:rPr>
      <w:rFonts w:asciiTheme="minorHAnsi" w:hAnsiTheme="minorHAnsi" w:eastAsiaTheme="minorEastAsia" w:cstheme="minorBidi"/>
      <w:kern w:val="2"/>
      <w:sz w:val="18"/>
      <w:szCs w:val="18"/>
    </w:rPr>
  </w:style>
  <w:style w:type="character" w:customStyle="1" w:styleId="11">
    <w:name w:val="批注框文本 Char"/>
    <w:basedOn w:val="8"/>
    <w:link w:val="3"/>
    <w:qFormat/>
    <w:uiPriority w:val="0"/>
    <w:rPr>
      <w:rFonts w:asciiTheme="minorHAnsi" w:hAnsiTheme="minorHAnsi" w:eastAsiaTheme="minorEastAsia" w:cstheme="minorBidi"/>
      <w:kern w:val="2"/>
      <w:sz w:val="18"/>
      <w:szCs w:val="18"/>
    </w:rPr>
  </w:style>
  <w:style w:type="paragraph" w:customStyle="1" w:styleId="12">
    <w:name w:val="工贸一封委托单位名称"/>
    <w:basedOn w:val="1"/>
    <w:qFormat/>
    <w:uiPriority w:val="0"/>
    <w:pPr>
      <w:spacing w:before="600" w:beforeLines="600" w:line="360" w:lineRule="auto"/>
      <w:jc w:val="center"/>
    </w:pPr>
    <w:rPr>
      <w:b/>
      <w:sz w:val="44"/>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mycomputer</Company>
  <Pages>3</Pages>
  <Words>1803</Words>
  <Characters>2286</Characters>
  <Lines>6</Lines>
  <Paragraphs>1</Paragraphs>
  <TotalTime>1</TotalTime>
  <ScaleCrop>false</ScaleCrop>
  <LinksUpToDate>false</LinksUpToDate>
  <CharactersWithSpaces>2300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2016-10-06T02:34:00Z</dcterms:created>
  <dc:creator>Administrator.PC-20160318MCPU</dc:creator>
  <cp:lastModifiedBy>shoona</cp:lastModifiedBy>
  <dcterms:modified xsi:type="dcterms:W3CDTF">2026-01-29T06:41:49Z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E14C5D6276D74CDC9D7EA154BAD57675</vt:lpwstr>
  </property>
  <property fmtid="{D5CDD505-2E9C-101B-9397-08002B2CF9AE}" pid="4" name="KSOTemplateDocerSaveRecord">
    <vt:lpwstr>eyJoZGlkIjoiMmE5MjA2NTc2MmMwNzRhMTQzMTVkYzI3YThmZWIzZTciLCJ1c2VySWQiOiIyNTc3OTY5NiJ9</vt:lpwstr>
  </property>
</Properties>
</file>